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w:history="1" r:id="rIdtk3pkbjp0bnea-khivcha">
        <w:r>
          <w:rPr>
            <w:rFonts w:ascii="Arial" w:cs="Arial" w:eastAsia="Arial" w:hAnsi="Arial"/>
            <w:color w:val="2255AA"/>
            <w:sz w:val="17"/>
            <w:szCs w:val="17"/>
          </w:rPr>
          <w:t xml:space="preserve">Tokenization.Systems</w:t>
        </w:r>
      </w:hyperlink>
      <w:r>
        <w:rPr>
          <w:rFonts w:ascii="Arial" w:cs="Arial" w:eastAsia="Arial" w:hAnsi="Arial"/>
          <w:color w:val="444444"/>
          <w:sz w:val="17"/>
          <w:szCs w:val="17"/>
        </w:rPr>
        <w:t xml:space="preserve">  |  </w:t>
      </w:r>
      <w:hyperlink w:history="1" r:id="rIdnnxna0daueqz2sdxissom">
        <w:r>
          <w:rPr>
            <w:rFonts w:ascii="Arial" w:cs="Arial" w:eastAsia="Arial" w:hAnsi="Arial"/>
            <w:color w:val="2255AA"/>
            <w:sz w:val="17"/>
            <w:szCs w:val="17"/>
          </w:rPr>
          <w:t xml:space="preserve">LinkedIn</w:t>
        </w:r>
      </w:hyperlink>
      <w:r>
        <w:rPr>
          <w:rFonts w:ascii="Arial" w:cs="Arial" w:eastAsia="Arial" w:hAnsi="Arial"/>
          <w:color w:val="444444"/>
          <w:sz w:val="17"/>
          <w:szCs w:val="17"/>
        </w:rPr>
        <w:t xml:space="preserve">  |  </w:t>
      </w:r>
      <w:hyperlink w:history="1" r:id="rIdrdmpe-g4zsyvawvrrkisd">
        <w:r>
          <w:rPr>
            <w:rFonts w:ascii="Arial" w:cs="Arial" w:eastAsia="Arial" w:hAnsi="Arial"/>
            <w:color w:val="2255AA"/>
            <w:sz w:val="17"/>
            <w:szCs w:val="17"/>
          </w:rPr>
          <w:t xml:space="preserve">SSRN</w:t>
        </w:r>
      </w:hyperlink>
    </w:p>
    <w:p>
      <w:pPr>
        <w:spacing w:after="15"/>
        <w:jc w:val="center"/>
      </w:pPr>
      <w:r>
        <w:rPr>
          <w:rFonts w:ascii="Arial" w:cs="Arial" w:eastAsia="Arial" w:hAnsi="Arial"/>
          <w:b/>
          <w:bCs/>
          <w:color w:val="1A1A1A"/>
          <w:sz w:val="21"/>
          <w:szCs w:val="21"/>
        </w:rPr>
        <w:t>DIGITAL ASSET PRODUCT · TOKENIZED MONEY AND PAYMENTS · INSTITUTIONAL DILIGENCE</w:t>
      </w:r>
    </w:p>
    <w:p>
      <w:pPr>
        <w:spacing w:after="10"/>
        <w:jc w:val="center"/>
      </w:pPr>
      <w:r>
        <w:rPr>
          <w:b w:val="0"/>
          <w:i w:val="0"/>
          <w:sz w:val="17"/>
        </w:rPr>
        <w:t>· 1,000+ deal funnel · 100 portfolio companies advised 1⁠-⁠on⁠-⁠1 (50+ multi⁠-⁠session) · LayerZero seed (~80x) · Thorchain $200M insolvency modeled 13 months ahead · 8 SSRN papers · 13 federal comment letters</w:t>
        <w:br/>
        <w:t>· Patent⁠-⁠pending Canonical⁠-⁠State Architecture for multi⁠-⁠agent AI research (sixteen USPTO provisional applications, 2026)</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40" w:before="160"/>
      </w:pPr>
      <w:r>
        <w:rPr>
          <w:rFonts w:ascii="Arial" w:cs="Arial" w:eastAsia="Arial" w:hAnsi="Arial"/>
          <w:color w:val="1A1A1A"/>
          <w:sz w:val="17"/>
          <w:szCs w:val="17"/>
        </w:rPr>
        <w:t>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7"/>
          <w:szCs w:val="17"/>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8"/>
          <w:szCs w:val="18"/>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fourteen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accepted for publication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xml:space="preserve">• Advised 100 portfolio companies 1-on-1 on token mechanism design (stablecoin reserves, governance-token allocation and incentive design, yield wrappers, burn/emission dynamics); standards defined in </w:t>
      </w:r>
      <w:hyperlink r:id="rId19">
        <w:r>
          <w:rPr>
            <w:rStyle w:val="Hyperlink"/>
          </w:rPr>
          <w:t xml:space="preserve">Introduction to Tokenomics</w:t>
        </w:r>
      </w:hyperlink>
      <w:r>
        <w:t>.</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0">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2">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Under review at the Journal of Financial Regulation (editor-invited).</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5">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19">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3">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tokenization.systems/papers/governance-concentration/" TargetMode="External"/><Relationship Id="rId19" Type="http://schemas.openxmlformats.org/officeDocument/2006/relationships/hyperlink" Target="https://medium.com/borderless-capital/introduction-to-tokenomics-c7af75c09bfe" TargetMode="External"/><Relationship Id="rId20" Type="http://schemas.openxmlformats.org/officeDocument/2006/relationships/hyperlink" Target="https://tokenization.systems/papers/agentic-payments-control-layer/"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three-strategies/"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operational-risk/"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