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AI-AUGMENTED RESEARCH · GOVERNANCE INFRASTRUCTURE · TOKENIZATION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14 custom MCP servers · ~75 DATs analyzed · diligence⁠-⁠doc review shortened from 4hr to 1hr per deal · 8 SSRN papers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AI-augmented research and governance infrastructure strategist. Built 14 custom Python MCP servers (FRED macro data, DefiLlama / CoinGecko / Artemis stablecoin and DeFi data, Helius for Solana, Etherscan / Blockscout for EVM chains, rated.network / Beaconcha.in for validator data, Tally for DAO governance, Dune Analytics, Spacescope, Nansen for wallet flows, and GitHub for specs and code) plus AI-assisted diligence workflows reducing subscription-document review ~4x (4 hours to 1 hour per deal) and automated SEC-filing and press-release monitoring covering ~75 Digital Asset Treasury Stocks (DATs) in 2025. Founding research hire at Borderless Capital (RIA, Dec 2019 to Feb 2026); shipped 250 portfolio investments at ~$500M AUM; predicted Thorchain's $200M insolvency 13 months ahead; sourced the LayerZero seed (~80x). Now founder of Tokenization Systems (Feb 2026 to present); published eight SSRN papers including Governance Concentration Beyond Token Allocation (40-protocol cross-section; protocol sector predicts governance concentration more than initial token allocation; Cohen's d = 0.96 between DePIN and DeFi) and Operational Risk in Token Economies.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14 custom Python MCP servers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>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who-burns-the-token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