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TOKENIZED-PRODUCT INVESTMENT MANAGEMENT · DUE DILIGENCE · PORTFOLIO STRATEGY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8"/>
          <w:szCs w:val="19"/>
        </w:rPr>
        <w:t>~$500M AUM · 250 investments (~25% deployment rate) · 1,000+ deals evaluated · LayerZero seed (~80x) · 8 SSRN papers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9"/>
        </w:rPr>
        <w:t>Tokenization-focused investment management strategist. Founding research hire at Borderless Capital (RIA, Dec 2019 to Feb 2026): sourced the LayerZero seed round (~80x return; thesis preceded the firm's Cross-Chain Ecosystem Fund by two years); led 1,000+ deal pre-seed-to-Series-C funnel; shipped 250 portfolio investments at ~25% deployment rate and ~$500M AUM. Predicted Thorchain's $200M insolvency 13 months in advance via 10-step scenario modeling (Dec 2023 internal memo; failure materialized in Jan 2025), underwriting the firm's no-exposure position. Now founder of Tokenization Systems (Feb 2026 to present), publishing institutional diligence frameworks: Minimum Viable Equivalence Pack (MVEP) for tokenized money-market funds, deposit tokens, payment stablecoins, and yield wrappers; Control Layer Intensity Index (CLII) for stablecoin gateway concentration. Authored eight SSRN papers and contributed eight federal regulatory comment letters across stablecoin and banking dockets.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–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  <w:b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  <w:b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  <w:b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submitted to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Working dialogue with capital-markets infrastructure operators on stablecoin, deposit-token, tokenized-deposit,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– Feb 2026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; Borderless held no exposure when the predicted failure mode materialized.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 w:before="60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Submitted to Federal Reserve / FRBNY Fifth Conference on the Dollar's International Roles (Jun 2026). Gateway concentration; CLII across 19 gateways including Visa Direct-adjacent paths.</w:t>
      </w:r>
    </w:p>
    <w:p>
      <w:pPr>
        <w:spacing w:after="28" w:before="60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 controller) applied to token-supply emission as programmable monetary-policy mechanism; 240-scenario Monte Carlo simulation; cuts worst-case supply volatility ~6x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14 custom Python MCP servers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8" w:before="60"/>
      </w:pPr>
      <w:r>
        <w:t>• Uniswap Foundation governance committee (2024)</w:t>
      </w:r>
    </w:p>
    <w:p>
      <w:pPr>
        <w:spacing w:after="38" w:before="60"/>
      </w:pPr>
      <w:r>
        <w:t>• ETHDenver pitch judge</w:t>
      </w:r>
    </w:p>
    <w:p>
      <w:pPr>
        <w:spacing w:after="38" w:before="60"/>
      </w:pPr>
      <w:r>
        <w:t xml:space="preserve">•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p>
      <w:pPr>
        <w:spacing w:after="0" w:before="60"/>
      </w:pPr>
      <w:r>
        <w:rPr>
          <w:rFonts w:ascii="Arial" w:cs="Arial" w:eastAsia="Arial" w:hAnsi="Arial"/>
          <w:color w:val="444444"/>
          <w:sz w:val="18"/>
          <w:szCs w:val="18"/>
        </w:rPr>
        <w:t>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who-burns-the-tokens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