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MineClaw API Key 加密存储实施报告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任务编号</w:t>
            </w:r>
          </w:p>
        </w:tc>
        <w:tc>
          <w:tcPr>
            <w:tcW w:type="dxa" w:w="4320"/>
          </w:tcPr>
          <w:p>
            <w:r>
              <w:t>SEC-20260304-001</w:t>
            </w:r>
          </w:p>
        </w:tc>
      </w:tr>
      <w:tr>
        <w:tc>
          <w:tcPr>
            <w:tcW w:type="dxa" w:w="4320"/>
          </w:tcPr>
          <w:p>
            <w:r>
              <w:t>功能模块</w:t>
            </w:r>
          </w:p>
        </w:tc>
        <w:tc>
          <w:tcPr>
            <w:tcW w:type="dxa" w:w="4320"/>
          </w:tcPr>
          <w:p>
            <w:r>
              <w:t>Security / Config</w:t>
            </w:r>
          </w:p>
        </w:tc>
      </w:tr>
      <w:tr>
        <w:tc>
          <w:tcPr>
            <w:tcW w:type="dxa" w:w="4320"/>
          </w:tcPr>
          <w:p>
            <w:r>
              <w:t>实施日期</w:t>
            </w:r>
          </w:p>
        </w:tc>
        <w:tc>
          <w:tcPr>
            <w:tcW w:type="dxa" w:w="4320"/>
          </w:tcPr>
          <w:p>
            <w:r>
              <w:t>2026-03-04</w:t>
            </w:r>
          </w:p>
        </w:tc>
      </w:tr>
      <w:tr>
        <w:tc>
          <w:tcPr>
            <w:tcW w:type="dxa" w:w="4320"/>
          </w:tcPr>
          <w:p>
            <w:r>
              <w:t>负责人</w:t>
            </w:r>
          </w:p>
        </w:tc>
        <w:tc>
          <w:tcPr>
            <w:tcW w:type="dxa" w:w="4320"/>
          </w:tcPr>
          <w:p>
            <w:r>
              <w:t>Trae AI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已完成 (Completed)</w:t>
            </w:r>
          </w:p>
        </w:tc>
      </w:tr>
    </w:tbl>
    <w:p>
      <w:pPr>
        <w:pStyle w:val="Heading1"/>
      </w:pPr>
      <w:r>
        <w:t>1. 需求背景</w:t>
      </w:r>
    </w:p>
    <w:p>
      <w:r>
        <w:t>为了防止 API Key（如 OpenAI、Volcengine Key）在配置文件泄露时被直接盗用，需实现“静态加密存储”（Encryption at Rest）。</w:t>
      </w:r>
    </w:p>
    <w:p>
      <w:pPr>
        <w:pStyle w:val="Heading1"/>
      </w:pPr>
      <w:r>
        <w:t>2. 技术方案</w:t>
      </w:r>
    </w:p>
    <w:p>
      <w:r>
        <w:t>采用 "Master Key + AES-256-GCM" 方案，实现透明加解密。</w:t>
      </w:r>
    </w:p>
    <w:p>
      <w:pPr>
        <w:pStyle w:val="Heading2"/>
      </w:pPr>
      <w:r>
        <w:t>2.1 核心组件</w:t>
      </w:r>
    </w:p>
    <w:p>
      <w:r>
        <w:rPr>
          <w:b/>
        </w:rPr>
        <w:t xml:space="preserve">Master Key: </w:t>
      </w:r>
      <w:r>
        <w:t>在 config/ 目录下生成随机 32 字节密钥文件 (master.key)，此文件被 .gitignore 忽略。</w:t>
      </w:r>
    </w:p>
    <w:p>
      <w:r>
        <w:rPr>
          <w:b/>
        </w:rPr>
        <w:t xml:space="preserve">Security Module: </w:t>
      </w:r>
      <w:r>
        <w:t>新增 src/security.rs 模块，封装 AES-GCM 加密与 Base64 编码逻辑。</w:t>
      </w:r>
    </w:p>
    <w:p>
      <w:pPr>
        <w:pStyle w:val="Heading2"/>
      </w:pPr>
      <w:r>
        <w:t>2.2 数据流</w:t>
      </w:r>
    </w:p>
    <w:p>
      <w:r>
        <w:t>1. Save: 配置文件保存时，自动检测明文 Key，使用 Master Key 加密并添加 "ENC:" 前缀。</w:t>
      </w:r>
    </w:p>
    <w:p>
      <w:r>
        <w:t>2. Load: 程序启动加载配置时，检测 "ENC:" 前缀，自动解密为明文供内存使用。</w:t>
      </w:r>
    </w:p>
    <w:p>
      <w:pPr>
        <w:pStyle w:val="Heading1"/>
      </w:pPr>
      <w:r>
        <w:t>3. 实施变更</w:t>
      </w:r>
    </w:p>
    <w:p>
      <w:pPr>
        <w:pStyle w:val="Heading2"/>
      </w:pPr>
      <w:r>
        <w:t>3.1 代码变更</w:t>
      </w:r>
    </w:p>
    <w:p>
      <w:r>
        <w:t>- 新增 src/security.rs</w:t>
      </w:r>
    </w:p>
    <w:p>
      <w:r>
        <w:t>- 修改 src/config.rs (集成加解密逻辑)</w:t>
      </w:r>
    </w:p>
    <w:p>
      <w:r>
        <w:t>- 修改 src/error.rs (添加配置错误类型)</w:t>
      </w:r>
    </w:p>
    <w:p>
      <w:r>
        <w:t>- 更新 Cargo.toml (添加 aes-gcm, rand, base64)</w:t>
      </w:r>
    </w:p>
    <w:p>
      <w:pPr>
        <w:pStyle w:val="Heading2"/>
      </w:pPr>
      <w:r>
        <w:t>3.2 配置变更</w:t>
      </w:r>
    </w:p>
    <w:p>
      <w:r>
        <w:t>config/mineclaw.toml 中的 api_key 字段现已加密存储。</w:t>
      </w:r>
    </w:p>
    <w:p>
      <w:r>
        <w:rPr>
          <w:b/>
        </w:rPr>
        <w:t xml:space="preserve">Before: </w:t>
      </w:r>
      <w:r>
        <w:t>api_key = "sk-test-..."</w:t>
      </w:r>
    </w:p>
    <w:p>
      <w:r>
        <w:rPr>
          <w:b/>
        </w:rPr>
        <w:t xml:space="preserve">After: </w:t>
      </w:r>
      <w:r>
        <w:t>api_key = "ENC:1oQ8GML..."</w:t>
      </w:r>
    </w:p>
    <w:p>
      <w:pPr>
        <w:pStyle w:val="Heading1"/>
      </w:pPr>
      <w:r>
        <w:t>4. 验证结果</w:t>
      </w:r>
    </w:p>
    <w:p>
      <w:r>
        <w:t>1. 启动测试: 服务器正常启动，日志显示配置加载成功。</w:t>
      </w:r>
    </w:p>
    <w:p>
      <w:r>
        <w:t>2. 加密验证: 检查磁盘文件，确认 api_key 已转为密文。</w:t>
      </w:r>
    </w:p>
    <w:p>
      <w:r>
        <w:t>3. 功能验证: API 调用正常，证明内存中已正确解密出原始 Key。</w:t>
      </w:r>
    </w:p>
    <w:p>
      <w:r>
        <w:t>4. 安全验证: .gitignore 已包含 config/master.key。</w:t>
      </w:r>
    </w:p>
    <w:p>
      <w:pPr>
        <w:pStyle w:val="Heading1"/>
      </w:pPr>
      <w:r>
        <w:t>5. 运维注意事项</w:t>
      </w:r>
    </w:p>
    <w:p>
      <w:pPr>
        <w:pStyle w:val="IntenseQuote"/>
      </w:pPr>
      <w:r>
        <w:t>警告: config/master.key 是解密的唯一凭证。</w:t>
      </w:r>
    </w:p>
    <w:p>
      <w:r>
        <w:t>- 备份: 请务必在安全的地方单独备份 master.key。</w:t>
      </w:r>
    </w:p>
    <w:p>
      <w:r>
        <w:t>- 迁移: 若迁移服务器，需同时复制 mineclaw.toml 和 master.key。</w:t>
      </w:r>
    </w:p>
    <w:p>
      <w:r>
        <w:t>- 丢失后果: 若丢失 master.key，所有加密配置将无法恢复，需重新输入 API Key。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