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widowControl w:val="1"/>
      </w:pPr>
      <w:r>
        <w:t>3. Расчётная часть</w:t>
      </w:r>
    </w:p>
    <w:p>
      <w:pPr>
        <w:widowControl w:val="1"/>
      </w:pPr>
      <w:r>
        <w:t>Для варианта №16 «Гараж» выполнены три инженерных расчёта: определение сопротивления токоограничивающего резистора красного светодиода, шага аналого-цифрового преобразователя (АЦП) и расчётного объёма данных, сохраняемых системой.</w:t>
      </w:r>
    </w:p>
    <w:p>
      <w:pPr>
        <w:pStyle w:val="Heading2"/>
        <w:widowControl w:val="1"/>
      </w:pPr>
      <w:r>
        <w:t>3.1. Расчёт резистора светодиода</w:t>
      </w:r>
    </w:p>
    <w:p>
      <w:pPr>
        <w:widowControl w:val="1"/>
      </w:pPr>
      <w:r>
        <w:t>Исходные данные: напряжение питания U = 5 В; прямое падение напряжения на красном светодиоде Uf = 2,0 В; заданный ток I = 10 мА = 0,01 А.</w:t>
      </w:r>
    </w:p>
    <w:p>
      <w:pPr>
        <w:widowControl w:val="1"/>
      </w:pPr>
      <w:r>
        <w:t>Сопротивление токоограничивающего резистора определяется по закону Ома:</w:t>
      </w:r>
    </w:p>
    <w:p>
      <w:pPr>
        <w:pStyle w:val="Формула"/>
        <w:jc w:val="center"/>
        <w:widowControl w:val="1"/>
      </w:pPr>
      <w:r>
        <w:t>R = (U − Uf) / I.</w:t>
      </w:r>
    </w:p>
    <w:p>
      <w:pPr>
        <w:widowControl w:val="1"/>
      </w:pPr>
      <w:r>
        <w:t>Подстановка исходных данных:</w:t>
      </w:r>
    </w:p>
    <w:p>
      <w:pPr>
        <w:pStyle w:val="Формула"/>
        <w:jc w:val="center"/>
        <w:widowControl w:val="1"/>
      </w:pPr>
      <w:r>
        <w:t>R = (5 − 2,0) / 0,01 = 300 Ом.</w:t>
      </w:r>
    </w:p>
    <w:p>
      <w:pPr>
        <w:widowControl w:val="1"/>
      </w:pPr>
      <w:r>
        <w:rPr>
          <w:b/>
        </w:rPr>
        <w:t xml:space="preserve">Результат: </w:t>
      </w:r>
      <w:r>
        <w:t>R = 300 Ом. Полученный номинал присутствует в ряду значений, приведённом в методических указаниях.</w:t>
      </w:r>
    </w:p>
    <w:p>
      <w:pPr>
        <w:widowControl w:val="1"/>
      </w:pPr>
      <w:r>
        <w:rPr>
          <w:b/>
        </w:rPr>
        <w:t xml:space="preserve">Вывод: </w:t>
      </w:r>
      <w:r>
        <w:t>резистор 300 Ом обеспечивает расчётный ток 10 мА при принятых значениях питающего напряжения и прямого падения напряжения на светодиоде. Этот номинал используется на схемах EasyEDA и Wokwi.</w:t>
      </w:r>
    </w:p>
    <w:p>
      <w:pPr>
        <w:pStyle w:val="Heading2"/>
        <w:widowControl w:val="1"/>
      </w:pPr>
      <w:r>
        <w:t>3.2. Расчёт шага АЦП</w:t>
      </w:r>
    </w:p>
    <w:p>
      <w:pPr>
        <w:widowControl w:val="1"/>
      </w:pPr>
      <w:r>
        <w:t>Arduino Uno оснащена 10-битным АЦП с диапазоном входного напряжения от 0 до 5 В. Количество уровней квантования составляет 2¹⁰ = 1024, а цифровые коды принимают значения от 0 до 1023.</w:t>
      </w:r>
    </w:p>
    <w:p>
      <w:pPr>
        <w:widowControl w:val="1"/>
      </w:pPr>
      <w:r>
        <w:t>Шаг квантования по напряжению:</w:t>
      </w:r>
    </w:p>
    <w:p>
      <w:pPr>
        <w:pStyle w:val="Формула"/>
        <w:jc w:val="center"/>
        <w:widowControl w:val="1"/>
      </w:pPr>
      <w:r>
        <w:t>ΔU = 5 / 1024 = 0,0048828125 В ≈ 4,88 мВ.</w:t>
      </w:r>
    </w:p>
    <w:p>
      <w:pPr>
        <w:widowControl w:val="1"/>
      </w:pPr>
      <w:r>
        <w:t>Для датчика MQ-2 в варианте №16 задан учебный диапазон концентрации угарного газа от 0 до 300 ppm. Шаг преобразования в единицах измеряемой величины согласно методичке:</w:t>
      </w:r>
    </w:p>
    <w:p>
      <w:pPr>
        <w:pStyle w:val="Формула"/>
        <w:jc w:val="center"/>
        <w:widowControl w:val="1"/>
      </w:pPr>
      <w:r>
        <w:t>ΔS = (Sₘₐₓ − Sₘᵢₙ) / 1023.</w:t>
      </w:r>
    </w:p>
    <w:p>
      <w:pPr>
        <w:pStyle w:val="Формула"/>
        <w:jc w:val="center"/>
        <w:widowControl w:val="1"/>
      </w:pPr>
      <w:r>
        <w:t>ΔS = (300 − 0) / 1023 ≈ 0,293 ppm.</w:t>
      </w:r>
    </w:p>
    <w:p>
      <w:pPr>
        <w:widowControl w:val="1"/>
      </w:pPr>
      <w:r>
        <w:rPr>
          <w:b/>
        </w:rPr>
        <w:t xml:space="preserve">Результат: </w:t>
      </w:r>
      <w:r>
        <w:t>шаг по напряжению — примерно 4,88 мВ; шаг по учебной шкале концентрации — примерно 0,293 ppm.</w:t>
      </w:r>
    </w:p>
    <w:p>
      <w:pPr>
        <w:widowControl w:val="1"/>
      </w:pPr>
      <w:r>
        <w:rPr>
          <w:b/>
        </w:rPr>
        <w:t xml:space="preserve">Вывод: </w:t>
      </w:r>
      <w:r>
        <w:t>полученное значение 0,293 ppm характеризует разрешение принятой линейной программной шкалы. Оно не является гарантированной точностью измерения CO настоящим датчиком MQ-2.</w:t>
      </w:r>
    </w:p>
    <w:p>
      <w:pPr>
        <w:pStyle w:val="Heading2"/>
        <w:widowControl w:val="1"/>
      </w:pPr>
      <w:r>
        <w:t>3.3. Расчёт объёма данных</w:t>
      </w:r>
    </w:p>
    <w:p>
      <w:pPr>
        <w:widowControl w:val="1"/>
      </w:pPr>
      <w:r>
        <w:t>Система опрашивает три датчика с периодом T = 5 с. При каждом опросе формируются три записи таблицы readings — по одной для каждого датчика. По методическим указаниям условный размер одной записи составляет 40 байт; продолжительность суток — 86 400 с.</w:t>
      </w:r>
    </w:p>
    <w:p>
      <w:pPr>
        <w:widowControl w:val="1"/>
      </w:pPr>
      <w:r>
        <w:t>Количество циклов опроса за сутки:</w:t>
      </w:r>
    </w:p>
    <w:p>
      <w:pPr>
        <w:pStyle w:val="Формула"/>
        <w:jc w:val="center"/>
        <w:widowControl w:val="1"/>
      </w:pPr>
      <w:r>
        <w:t>N₁ = 86 400 / 5 = 17 280 циклов.</w:t>
      </w:r>
    </w:p>
    <w:p>
      <w:pPr>
        <w:widowControl w:val="1"/>
      </w:pPr>
      <w:r>
        <w:t>Количество записей показаний за сутки:</w:t>
      </w:r>
    </w:p>
    <w:p>
      <w:pPr>
        <w:pStyle w:val="Формула"/>
        <w:jc w:val="center"/>
        <w:widowControl w:val="1"/>
      </w:pPr>
      <w:r>
        <w:t>N = N₁ × 3 = 17 280 × 3 = 51 840 записей.</w:t>
      </w:r>
    </w:p>
    <w:p>
      <w:pPr>
        <w:widowControl w:val="1"/>
      </w:pPr>
      <w:r>
        <w:t>Расчётный объём показаний за сутки:</w:t>
      </w:r>
    </w:p>
    <w:p>
      <w:pPr>
        <w:pStyle w:val="Формула"/>
        <w:jc w:val="center"/>
        <w:widowControl w:val="1"/>
      </w:pPr>
      <w:r>
        <w:t>V₁ = 51 840 × 40 = 2 073 600 байт ≈ 2,07 МБ.</w:t>
      </w:r>
    </w:p>
    <w:p>
      <w:pPr>
        <w:widowControl w:val="1"/>
      </w:pPr>
      <w:r>
        <w:t>Расчётный объём за 30 суток:</w:t>
      </w:r>
    </w:p>
    <w:p>
      <w:pPr>
        <w:pStyle w:val="Формула"/>
        <w:jc w:val="center"/>
        <w:widowControl w:val="1"/>
      </w:pPr>
      <w:r>
        <w:t>V₃₀ = 2 073 600 × 30 = 62 208 000 байт ≈ 62,21 МБ.</w:t>
      </w:r>
    </w:p>
    <w:p>
      <w:pPr>
        <w:widowControl w:val="1"/>
      </w:pPr>
      <w:r>
        <w:rPr>
          <w:b/>
        </w:rPr>
        <w:t xml:space="preserve">Результат: </w:t>
      </w:r>
      <w:r>
        <w:t>51 840 записей и около 2,07 МБ в сутки; около 62,21 МБ за 30 суток.</w:t>
      </w:r>
    </w:p>
    <w:p>
      <w:pPr>
        <w:widowControl w:val="1"/>
      </w:pPr>
      <w:r>
        <w:rPr>
          <w:b/>
        </w:rPr>
        <w:t xml:space="preserve">Вывод: </w:t>
      </w:r>
      <w:r>
        <w:t>при непрерывной работе и периоде опроса 5 с система формирует ориентировочно 62,21 МБ данных показаний за 30 суток. Оценка не учитывает дополнительные события, индексы и служебные данные файла SQLite; режим TEST не изменяет период опроса и количество записей.</w:t>
      </w:r>
    </w:p>
    <w:sectPr w:rsidR="00FC693F" w:rsidRPr="0006063C" w:rsidSect="00034616">
      <w:pgSz w:w="11906" w:h="16838"/>
      <w:pgMar w:top="1134" w:right="567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Формула">
    <w:name w:val="Формула"/>
    <w:basedOn w:val="Normal"/>
    <w:pPr>
      <w:spacing w:before="60" w:after="60" w:line="360" w:lineRule="auto"/>
      <w:ind w:firstLine="0"/>
    </w:pPr>
    <w:rPr>
      <w:rFonts w:ascii="Cambria Math" w:hAnsi="Cambria Math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Расчётная часть — вариант №16 «Гараж»</dc:title>
  <dc:subject>ПМ.02. Расчёты для курсового проекта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