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1C982">
      <w:pPr>
        <w:pStyle w:val="21"/>
        <w:numPr>
          <w:ilvl w:val="0"/>
          <w:numId w:val="0"/>
        </w:numPr>
        <w:snapToGrid w:val="0"/>
      </w:pPr>
      <w:bookmarkStart w:id="0" w:name="麦克纳姆轮四足移动机械臂的轻量化设计与基于-delta-机构的异构遥操作控制"/>
      <w:r>
        <w:rPr>
          <w:rFonts w:hint="eastAsia"/>
        </w:rPr>
        <w:t>麦克纳姆轮四足移动机械臂的轻量化设计与基于</w:t>
      </w:r>
      <w:r>
        <w:t xml:space="preserve"> Delta </w:t>
      </w:r>
      <w:r>
        <w:rPr>
          <w:rFonts w:hint="eastAsia"/>
        </w:rPr>
        <w:t>机构的异构遥操作控制</w:t>
      </w:r>
    </w:p>
    <w:p w14:paraId="54C95EF6">
      <w:pPr>
        <w:pStyle w:val="14"/>
        <w:numPr>
          <w:ilvl w:val="0"/>
          <w:numId w:val="0"/>
        </w:numPr>
        <w:snapToGrid w:val="0"/>
        <w:sectPr>
          <w:pgSz w:w="11906" w:h="16838"/>
          <w:pgMar w:top="540" w:right="893" w:bottom="1440" w:left="893" w:header="720" w:footer="720" w:gutter="0"/>
          <w:cols w:space="720" w:num="1"/>
          <w:docGrid w:linePitch="360" w:charSpace="0"/>
        </w:sectPr>
      </w:pPr>
      <w:r>
        <w:rPr>
          <w:rFonts w:hint="eastAsia"/>
        </w:rPr>
        <w:t>作者、单位及通信邮箱：待作者确认。</w:t>
      </w:r>
    </w:p>
    <w:p w14:paraId="53B7F503">
      <w:pPr>
        <w:pStyle w:val="12"/>
        <w:numPr>
          <w:ilvl w:val="0"/>
          <w:numId w:val="0"/>
        </w:numPr>
        <w:snapToGrid w:val="0"/>
      </w:pPr>
      <w:bookmarkStart w:id="1" w:name="摘要abstract"/>
      <w:r>
        <w:t>摘要（Abstract）—</w:t>
      </w:r>
      <w:r>
        <w:rPr>
          <w:rFonts w:hint="eastAsia"/>
        </w:rPr>
        <w:t>搭载机械臂的四足机器人兼具地形适应能力和环境操作能力，在灾害救援、危险环境作业与园区巡检等场景中具有应用价值。面向移动灵活性、结构质量和嵌入式计算资源之间的折中，本文提出一种麦克纳姆轮四足移动机械臂及其异构遥操作系统。底盘每腿保留两个俯仰关节和一个车轮驱动自由度，通过麦克纳姆轮的方向约束实现平面全向运动；控制上采用单腿虚功映射与整机单刚体模型相结合的分层力矩前馈，并通过姿态反馈调整腿长。六轴机械臂通过位置与姿态分解完成解析逆运动学，主端采用</w:t>
      </w:r>
      <w:r>
        <w:t xml:space="preserve"> Delta </w:t>
      </w:r>
      <w:r>
        <w:rPr>
          <w:rFonts w:hint="eastAsia"/>
        </w:rPr>
        <w:t>并联机构与三编码器手柄分别输入末端位置和姿态。已有技术报告记录了底盘越障、姿态调节和主端重力补偿的功能演示，以及机械臂关节阶跃响应的改善。上述记录支持模块级实现的可行性；整机能耗、末端定位精度及重复任务成功率仍需统一测量验证。</w:t>
      </w:r>
    </w:p>
    <w:p w14:paraId="6FCC174E">
      <w:pPr>
        <w:pStyle w:val="29"/>
        <w:numPr>
          <w:ilvl w:val="0"/>
          <w:numId w:val="0"/>
        </w:numPr>
        <w:snapToGrid w:val="0"/>
      </w:pPr>
      <w:r>
        <w:rPr>
          <w:rFonts w:hint="eastAsia"/>
          <w:b/>
          <w:bCs/>
        </w:rPr>
        <w:t>关键词（Keywords）</w:t>
      </w:r>
      <w:r>
        <w:rPr>
          <w:rFonts w:hint="eastAsia"/>
        </w:rPr>
        <w:t>：轮足机器人，麦克纳姆轮，移动操作，轻量化设计，力矩前馈，异构遥操作。</w:t>
      </w:r>
    </w:p>
    <w:bookmarkEnd w:id="1"/>
    <w:p w14:paraId="36D26F84">
      <w:pPr>
        <w:pStyle w:val="2"/>
        <w:numPr>
          <w:ilvl w:val="0"/>
          <w:numId w:val="0"/>
        </w:numPr>
        <w:snapToGrid w:val="0"/>
      </w:pPr>
      <w:bookmarkStart w:id="2" w:name="i.-引言introduction"/>
      <w:r>
        <w:t xml:space="preserve">I. </w:t>
      </w:r>
      <w:r>
        <w:rPr>
          <w:rFonts w:hint="eastAsia"/>
        </w:rPr>
        <w:t>引言（Introduction）</w:t>
      </w:r>
    </w:p>
    <w:p w14:paraId="47DE1758">
      <w:pPr>
        <w:pStyle w:val="7"/>
        <w:numPr>
          <w:ilvl w:val="0"/>
          <w:numId w:val="0"/>
        </w:numPr>
        <w:snapToGrid w:val="0"/>
        <w:rPr>
          <w:sz w:val="20"/>
        </w:rPr>
      </w:pPr>
      <w:r>
        <w:rPr>
          <w:rFonts w:hint="eastAsia"/>
          <w:sz w:val="20"/>
          <w:szCs w:val="20"/>
        </w:rPr>
        <w:t>非结构化环境中的移动作业不仅要求机器人抵达目标区域，还要求其完成抓取、搬运和设备操作。腿式机构能够调整支撑位置与机身姿态，车轮有利于连续滚动，机械臂则提供独立的末端作业空间。将三者结合，可以扩大机器人可执行任务的范围，但也引入了质量分布变化、轮地接触约束以及主从运动映射等问题。</w:t>
      </w:r>
    </w:p>
    <w:p w14:paraId="37E83009">
      <w:pPr>
        <w:pStyle w:val="7"/>
        <w:numPr>
          <w:ilvl w:val="0"/>
          <w:numId w:val="0"/>
        </w:numPr>
        <w:snapToGrid w:val="0"/>
        <w:rPr>
          <w:sz w:val="20"/>
        </w:rPr>
      </w:pPr>
      <w:r>
        <w:rPr>
          <w:rFonts w:hint="eastAsia"/>
          <w:sz w:val="20"/>
          <w:szCs w:val="20"/>
        </w:rPr>
        <w:t>已有轮足移动操作研究分别从学习控制、机构重构和人机交互等方向开展探索。Wang</w:t>
      </w:r>
      <w:r>
        <w:rPr>
          <w:sz w:val="20"/>
          <w:szCs w:val="20"/>
        </w:rPr>
        <w:t xml:space="preserve"> </w:t>
      </w:r>
      <w:r>
        <w:rPr>
          <w:rFonts w:hint="eastAsia"/>
          <w:sz w:val="20"/>
          <w:szCs w:val="20"/>
        </w:rPr>
        <w:t>等利用带机械臂约束的课程学习实现轮足机器人的移动操作</w:t>
      </w:r>
      <w:r>
        <w:rPr>
          <w:sz w:val="20"/>
          <w:szCs w:val="20"/>
        </w:rPr>
        <w:t xml:space="preserve"> </w:t>
      </w:r>
      <w:r>
        <w:rPr>
          <w:rFonts w:hint="eastAsia"/>
          <w:sz w:val="20"/>
          <w:szCs w:val="20"/>
        </w:rPr>
        <w:t>[1]；Zhang</w:t>
      </w:r>
      <w:r>
        <w:rPr>
          <w:sz w:val="20"/>
          <w:szCs w:val="20"/>
        </w:rPr>
        <w:t xml:space="preserve"> </w:t>
      </w:r>
      <w:r>
        <w:rPr>
          <w:rFonts w:hint="eastAsia"/>
          <w:sz w:val="20"/>
          <w:szCs w:val="20"/>
        </w:rPr>
        <w:t>等通过主动对接机构和模块化控制实现轮足双臂机器人的构型切换</w:t>
      </w:r>
      <w:r>
        <w:rPr>
          <w:sz w:val="20"/>
          <w:szCs w:val="20"/>
        </w:rPr>
        <w:t xml:space="preserve"> </w:t>
      </w:r>
      <w:r>
        <w:rPr>
          <w:rFonts w:hint="eastAsia"/>
          <w:sz w:val="20"/>
          <w:szCs w:val="20"/>
        </w:rPr>
        <w:t>[2]；Cruz</w:t>
      </w:r>
      <w:r>
        <w:rPr>
          <w:sz w:val="20"/>
          <w:szCs w:val="20"/>
        </w:rPr>
        <w:t xml:space="preserve"> Ulloa </w:t>
      </w:r>
      <w:r>
        <w:rPr>
          <w:rFonts w:hint="eastAsia"/>
          <w:sz w:val="20"/>
          <w:szCs w:val="20"/>
        </w:rPr>
        <w:t>等将混合现实遥操作用于四足机械臂搜救辅助任务</w:t>
      </w:r>
      <w:r>
        <w:rPr>
          <w:sz w:val="20"/>
          <w:szCs w:val="20"/>
        </w:rPr>
        <w:t xml:space="preserve"> </w:t>
      </w:r>
      <w:r>
        <w:rPr>
          <w:rFonts w:hint="eastAsia"/>
          <w:sz w:val="20"/>
          <w:szCs w:val="20"/>
        </w:rPr>
        <w:t>[3]。这些工作表明，运动与操作的结合具有实际价值，也说明控制策略需要与机构、执行器和任务条件共同设计。</w:t>
      </w:r>
    </w:p>
    <w:p w14:paraId="660F3A62">
      <w:pPr>
        <w:pStyle w:val="7"/>
        <w:numPr>
          <w:ilvl w:val="0"/>
          <w:numId w:val="0"/>
        </w:numPr>
        <w:snapToGrid w:val="0"/>
        <w:rPr>
          <w:sz w:val="20"/>
        </w:rPr>
      </w:pPr>
      <w:r>
        <w:rPr>
          <w:rFonts w:hint="eastAsia"/>
          <w:sz w:val="20"/>
          <w:szCs w:val="20"/>
        </w:rPr>
        <w:t>本文关注采用微控制器部署的轮足移动操作平台。相对于每腿包含三个腿部转动关节及一个轮驱动的四轮足构型，本文底盘省去四个髋部滚转自由度，以麦克纳姆轮的平面全向运动能力补充转向与侧移能力。这里的十二自由度与十六自由度比较仅针对底盘主动自由度，不包括六轴机械臂和夹爪，也不将所有点足或轮足机器人概括为同一种构型。减少执行器数量为降低质量和控制复杂度提供了结构基础，实际节能效果仍取决于传动、滚动损耗和运动工况。</w:t>
      </w:r>
    </w:p>
    <w:p w14:paraId="63A2EEC9">
      <w:pPr>
        <w:pStyle w:val="7"/>
        <w:numPr>
          <w:ilvl w:val="0"/>
          <w:numId w:val="0"/>
        </w:numPr>
        <w:snapToGrid w:val="0"/>
        <w:rPr>
          <w:sz w:val="20"/>
        </w:rPr>
      </w:pPr>
      <w:r>
        <w:rPr>
          <w:rFonts w:hint="eastAsia"/>
          <w:sz w:val="20"/>
          <w:szCs w:val="20"/>
        </w:rPr>
        <w:t>本文沿用技术报告</w:t>
      </w:r>
      <w:r>
        <w:rPr>
          <w:sz w:val="20"/>
          <w:szCs w:val="20"/>
        </w:rPr>
        <w:t xml:space="preserve"> [4] </w:t>
      </w:r>
      <w:r>
        <w:rPr>
          <w:rFonts w:hint="eastAsia"/>
          <w:sz w:val="20"/>
          <w:szCs w:val="20"/>
        </w:rPr>
        <w:t>的系统路线，并参考仓库机械设计资料</w:t>
      </w:r>
      <w:r>
        <w:rPr>
          <w:sz w:val="20"/>
          <w:szCs w:val="20"/>
        </w:rPr>
        <w:t xml:space="preserve"> [5] </w:t>
      </w:r>
      <w:r>
        <w:rPr>
          <w:rFonts w:hint="eastAsia"/>
          <w:sz w:val="20"/>
          <w:szCs w:val="20"/>
        </w:rPr>
        <w:t>补充结构说明，主要贡献为：第一，将两关节轮腿、麦克纳姆轮及六轴夹爪机械臂集成为移动操作平台；第二，建立从整机期望合力与合力矩到足端力、关节力矩和电机力矩的分层映射，结合姿态反馈形成便于嵌入式实现的控制链；第三，通过</w:t>
      </w:r>
      <w:r>
        <w:rPr>
          <w:sz w:val="20"/>
          <w:szCs w:val="20"/>
        </w:rPr>
        <w:t xml:space="preserve"> Delta </w:t>
      </w:r>
      <w:r>
        <w:rPr>
          <w:rFonts w:hint="eastAsia"/>
          <w:sz w:val="20"/>
          <w:szCs w:val="20"/>
        </w:rPr>
        <w:t>三平移机构和三转动编码器手柄构成异构主端，结合解析逆解及底盘平移补偿完成末端位姿输入。本文对已有记录进行整理和分析，不将尚未完成的约束优化或未测量的性能指标作为实验结果。</w:t>
      </w:r>
    </w:p>
    <w:bookmarkEnd w:id="2"/>
    <w:p w14:paraId="19F195F8">
      <w:pPr>
        <w:pStyle w:val="2"/>
        <w:numPr>
          <w:ilvl w:val="0"/>
          <w:numId w:val="0"/>
        </w:numPr>
        <w:snapToGrid w:val="0"/>
      </w:pPr>
      <w:bookmarkStart w:id="3" w:name="ii.-相关工作related-work"/>
      <w:r>
        <w:t xml:space="preserve">II. </w:t>
      </w:r>
      <w:r>
        <w:rPr>
          <w:rFonts w:hint="eastAsia"/>
        </w:rPr>
        <w:t>相关工作（Related</w:t>
      </w:r>
      <w:r>
        <w:t xml:space="preserve"> </w:t>
      </w:r>
      <w:r>
        <w:rPr>
          <w:rFonts w:hint="eastAsia"/>
        </w:rPr>
        <w:t>Work）</w:t>
      </w:r>
    </w:p>
    <w:p w14:paraId="5D7CCAED">
      <w:pPr>
        <w:pStyle w:val="3"/>
        <w:numPr>
          <w:ilvl w:val="1"/>
          <w:numId w:val="0"/>
        </w:numPr>
        <w:snapToGrid w:val="0"/>
      </w:pPr>
      <w:bookmarkStart w:id="4" w:name="a.-轮足移动操作与整机控制"/>
      <w:r>
        <w:t xml:space="preserve">A. </w:t>
      </w:r>
      <w:r>
        <w:rPr>
          <w:rFonts w:hint="eastAsia"/>
        </w:rPr>
        <w:t>轮足移动操作与整机控制</w:t>
      </w:r>
    </w:p>
    <w:p w14:paraId="6E8339BB">
      <w:pPr>
        <w:pStyle w:val="7"/>
        <w:numPr>
          <w:ilvl w:val="0"/>
          <w:numId w:val="0"/>
        </w:numPr>
        <w:snapToGrid w:val="0"/>
        <w:rPr>
          <w:sz w:val="20"/>
        </w:rPr>
      </w:pPr>
      <w:r>
        <w:rPr>
          <w:rFonts w:hint="eastAsia"/>
          <w:sz w:val="20"/>
          <w:szCs w:val="20"/>
        </w:rPr>
        <w:t>移动机械臂的控制需要兼顾机身稳定与末端运动。[1]</w:t>
      </w:r>
      <w:r>
        <w:rPr>
          <w:sz w:val="20"/>
          <w:szCs w:val="20"/>
        </w:rPr>
        <w:t xml:space="preserve"> </w:t>
      </w:r>
      <w:r>
        <w:rPr>
          <w:rFonts w:hint="eastAsia"/>
          <w:sz w:val="20"/>
          <w:szCs w:val="20"/>
        </w:rPr>
        <w:t>将机械臂约束引入强化学习，并通过课程设计协调移动与操作；其方法包含训练、策略部署和实机验证环节。[2]</w:t>
      </w:r>
      <w:r>
        <w:rPr>
          <w:sz w:val="20"/>
          <w:szCs w:val="20"/>
        </w:rPr>
        <w:t xml:space="preserve"> </w:t>
      </w:r>
      <w:r>
        <w:rPr>
          <w:rFonts w:hint="eastAsia"/>
          <w:sz w:val="20"/>
          <w:szCs w:val="20"/>
        </w:rPr>
        <w:t>采用虚拟模型控制与线性二次调节器，并对多模块连接后的姿态和转向进行协调。这些工作面向不同机构和任务，不能直接用其性能数字与本文平台作横向比较。</w:t>
      </w:r>
    </w:p>
    <w:p w14:paraId="5B4021E3">
      <w:pPr>
        <w:pStyle w:val="7"/>
        <w:numPr>
          <w:ilvl w:val="0"/>
          <w:numId w:val="0"/>
        </w:numPr>
        <w:snapToGrid w:val="0"/>
        <w:rPr>
          <w:sz w:val="20"/>
        </w:rPr>
      </w:pPr>
      <w:r>
        <w:rPr>
          <w:rFonts w:hint="eastAsia"/>
          <w:sz w:val="20"/>
          <w:szCs w:val="20"/>
        </w:rPr>
        <w:t>本文采用解析运动学、刚体近似和关节反馈，重点是形成可解释、可分模块调试的控制流程。单刚体模型省略了部分连杆惯性和快速运动耦合，计算负担较小，但其适用范围也相应受限。技术报告讨论了带摩擦约束的二次规划及后续模型预测控制路线，同时明确说明演示阶段尚未实现二次规划前馈</w:t>
      </w:r>
      <w:r>
        <w:rPr>
          <w:sz w:val="20"/>
          <w:szCs w:val="20"/>
        </w:rPr>
        <w:t xml:space="preserve"> </w:t>
      </w:r>
      <w:r>
        <w:rPr>
          <w:rFonts w:hint="eastAsia"/>
          <w:sz w:val="20"/>
          <w:szCs w:val="20"/>
        </w:rPr>
        <w:t>[4]。因此，本文保留原稿中的最小范数分配作为简化基线，并说明其物理可行性条件。</w:t>
      </w:r>
    </w:p>
    <w:bookmarkEnd w:id="4"/>
    <w:p w14:paraId="34DCAAD9">
      <w:pPr>
        <w:pStyle w:val="3"/>
        <w:numPr>
          <w:ilvl w:val="1"/>
          <w:numId w:val="0"/>
        </w:numPr>
        <w:snapToGrid w:val="0"/>
      </w:pPr>
      <w:bookmarkStart w:id="5" w:name="b.-遥操作与异构主端"/>
      <w:r>
        <w:t xml:space="preserve">B. </w:t>
      </w:r>
      <w:r>
        <w:rPr>
          <w:rFonts w:hint="eastAsia"/>
        </w:rPr>
        <w:t>遥操作与异构主端</w:t>
      </w:r>
    </w:p>
    <w:p w14:paraId="78F75090">
      <w:pPr>
        <w:pStyle w:val="7"/>
        <w:numPr>
          <w:ilvl w:val="0"/>
          <w:numId w:val="0"/>
        </w:numPr>
        <w:snapToGrid w:val="0"/>
        <w:rPr>
          <w:sz w:val="20"/>
        </w:rPr>
      </w:pPr>
      <w:r>
        <w:rPr>
          <w:sz w:val="20"/>
          <w:szCs w:val="20"/>
        </w:rPr>
        <w:t xml:space="preserve">[3] </w:t>
      </w:r>
      <w:r>
        <w:rPr>
          <w:rFonts w:hint="eastAsia"/>
          <w:sz w:val="20"/>
          <w:szCs w:val="20"/>
        </w:rPr>
        <w:t>通过混合现实接口改善四足机械臂的任务交互，表明操作者输入方式会影响移动操作的执行过程。本文采用实体位姿输入装置：Delta</w:t>
      </w:r>
      <w:r>
        <w:rPr>
          <w:sz w:val="20"/>
          <w:szCs w:val="20"/>
        </w:rPr>
        <w:t xml:space="preserve"> </w:t>
      </w:r>
      <w:r>
        <w:rPr>
          <w:rFonts w:hint="eastAsia"/>
          <w:sz w:val="20"/>
          <w:szCs w:val="20"/>
        </w:rPr>
        <w:t>并联机构测量手柄平移，串联的三转动机构测量手柄姿态。主端与从端无需具有相同关节构型，其联系由笛卡尔空间映射建立。</w:t>
      </w:r>
    </w:p>
    <w:p w14:paraId="6C6EC27F">
      <w:pPr>
        <w:pStyle w:val="7"/>
        <w:numPr>
          <w:ilvl w:val="0"/>
          <w:numId w:val="0"/>
        </w:numPr>
        <w:snapToGrid w:val="0"/>
        <w:rPr>
          <w:sz w:val="20"/>
        </w:rPr>
      </w:pPr>
      <w:r>
        <w:rPr>
          <w:rFonts w:hint="eastAsia"/>
          <w:sz w:val="20"/>
          <w:szCs w:val="20"/>
        </w:rPr>
        <w:t>位置缩放、坐标校准和关节解支选择决定了异构映射的连续性；编码器分辨率本身并不等于末端定位精度。本文主端的力矩前馈用于抵消自身重力，现有资料未提供从端接触力回传和双边力反馈实验，故不将其表述为已实现环境力觉再现的系统。</w:t>
      </w:r>
    </w:p>
    <w:bookmarkEnd w:id="3"/>
    <w:bookmarkEnd w:id="5"/>
    <w:p w14:paraId="1B8FE646">
      <w:pPr>
        <w:pStyle w:val="2"/>
        <w:numPr>
          <w:ilvl w:val="0"/>
          <w:numId w:val="0"/>
        </w:numPr>
        <w:snapToGrid w:val="0"/>
      </w:pPr>
      <w:bookmarkStart w:id="6" w:name="iii.-提出的方法proposed-method"/>
      <w:r>
        <w:t xml:space="preserve">III. </w:t>
      </w:r>
      <w:r>
        <w:rPr>
          <w:rFonts w:hint="eastAsia"/>
        </w:rPr>
        <w:t>提出的方法（Proposed</w:t>
      </w:r>
      <w:r>
        <w:t xml:space="preserve"> </w:t>
      </w:r>
      <w:r>
        <w:rPr>
          <w:rFonts w:hint="eastAsia"/>
        </w:rPr>
        <w:t>Method）</w:t>
      </w:r>
    </w:p>
    <w:p w14:paraId="33EBB027">
      <w:pPr>
        <w:pStyle w:val="3"/>
        <w:numPr>
          <w:ilvl w:val="1"/>
          <w:numId w:val="0"/>
        </w:numPr>
        <w:snapToGrid w:val="0"/>
      </w:pPr>
      <w:bookmarkStart w:id="7" w:name="a.-系统结构与符号约定"/>
      <w:r>
        <w:t xml:space="preserve">A. </w:t>
      </w:r>
      <w:r>
        <w:rPr>
          <w:rFonts w:hint="eastAsia"/>
        </w:rPr>
        <w:t>系统结构与符号约定</w:t>
      </w:r>
    </w:p>
    <w:p w14:paraId="55B0C86F">
      <w:pPr>
        <w:pStyle w:val="7"/>
        <w:numPr>
          <w:ilvl w:val="0"/>
          <w:numId w:val="0"/>
        </w:numPr>
        <w:snapToGrid w:val="0"/>
        <w:rPr>
          <w:sz w:val="20"/>
        </w:rPr>
      </w:pPr>
      <w:r>
        <w:rPr>
          <w:rFonts w:hint="eastAsia"/>
          <w:sz w:val="20"/>
          <w:szCs w:val="20"/>
        </w:rPr>
        <w:t>系统由十二自由度四轮足底盘、六转动关节机械臂及单自由度夹爪、Delta</w:t>
      </w:r>
      <w:r>
        <w:rPr>
          <w:sz w:val="20"/>
          <w:szCs w:val="20"/>
        </w:rPr>
        <w:t xml:space="preserve"> </w:t>
      </w:r>
      <w:r>
        <w:rPr>
          <w:rFonts w:hint="eastAsia"/>
          <w:sz w:val="20"/>
          <w:szCs w:val="20"/>
        </w:rPr>
        <w:t>异构遥操作控制器组成。机器人端共有十九个主动自由度；主端的三个平移自由度与三个姿态输入自由度单独计数。底盘上层框架采用碳纤维方管，下层采用铝方管，并结合碳纤维板与铝制连接件形成分层结构。两路腿部驱动集中在髋部，通过平行四边形机构传递膝部运动，降低电机随小腿摆动的惯量。机械臂采用碳纤维板和铝制加工件，夹爪采用连杆与滑轨结构</w:t>
      </w:r>
      <w:r>
        <w:rPr>
          <w:sz w:val="20"/>
          <w:szCs w:val="20"/>
        </w:rPr>
        <w:t xml:space="preserve"> </w:t>
      </w:r>
      <w:r>
        <w:rPr>
          <w:rFonts w:hint="eastAsia"/>
          <w:sz w:val="20"/>
          <w:szCs w:val="20"/>
        </w:rPr>
        <w:t>[5]。这些设计体现轻量化目标，但现有资料尚不足以给出等强度结构的减重百分比。</w:t>
      </w:r>
    </w:p>
    <w:p w14:paraId="06F7C4A3">
      <w:pPr>
        <w:pStyle w:val="7"/>
        <w:numPr>
          <w:ilvl w:val="0"/>
          <w:numId w:val="0"/>
        </w:numPr>
        <w:snapToGrid w:val="0"/>
        <w:rPr>
          <w:sz w:val="20"/>
        </w:rPr>
      </w:pPr>
      <w:r>
        <w:rPr>
          <w:rFonts w:hint="eastAsia"/>
          <w:sz w:val="20"/>
          <w:szCs w:val="20"/>
        </w:rPr>
        <w:t>控制流程如</w:t>
      </w:r>
      <w:r>
        <w:rPr>
          <w:sz w:val="20"/>
          <w:szCs w:val="20"/>
        </w:rPr>
        <w:t xml:space="preserve"> Fig. 1 </w:t>
      </w:r>
      <w:r>
        <w:rPr>
          <w:rFonts w:hint="eastAsia"/>
          <w:sz w:val="20"/>
          <w:szCs w:val="20"/>
        </w:rPr>
        <w:t>所示。底盘控制器接收期望平面速度、机身高度和姿态，分别计算轮速、关节位置及前馈力矩；机械臂控制器接收主端位姿，经坐标映射与逆解后生成关节指令。关节层采用位置与速度串级反馈，模型前馈与反馈输出在执行器侧叠加。</w:t>
      </w:r>
    </w:p>
    <w:p w14:paraId="11FB4EBB">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CFCF1DB">
      <w:pPr>
        <w:pStyle w:val="18"/>
        <w:numPr>
          <w:ilvl w:val="0"/>
          <w:numId w:val="0"/>
        </w:numPr>
        <w:snapToGrid w:val="0"/>
      </w:pPr>
      <w:r>
        <w:rPr>
          <w:iCs/>
        </w:rPr>
        <w:t xml:space="preserve">Fig. 1. </w:t>
      </w:r>
      <w:r>
        <w:rPr>
          <w:rFonts w:hint="eastAsia"/>
          <w:iCs/>
        </w:rPr>
        <w:t>整体结构与分层控制框图（留白，待补图）。</w:t>
      </w:r>
    </w:p>
    <w:p w14:paraId="0BA7822D">
      <w:pPr>
        <w:pStyle w:val="7"/>
        <w:numPr>
          <w:ilvl w:val="0"/>
          <w:numId w:val="0"/>
        </w:numPr>
        <w:snapToGrid w:val="0"/>
        <w:rPr>
          <w:sz w:val="20"/>
        </w:rPr>
      </w:pPr>
      <w:r>
        <w:rPr>
          <w:rFonts w:hint="eastAsia"/>
          <w:sz w:val="20"/>
          <w:szCs w:val="20"/>
        </w:rPr>
        <w:t>标量采用斜体，矢量采用粗斜体，矩阵采用粗正体；描述性下标、单位和函数名称采用正体。上标</w:t>
      </w:r>
      <w:r>
        <w:rPr>
          <w:sz w:val="20"/>
          <w:szCs w:val="20"/>
        </w:rPr>
        <w:t xml:space="preserve"> </w:t>
      </w:r>
      <m:oMath>
        <m:r>
          <m:rPr>
            <m:sty m:val="p"/>
          </m:rPr>
          <w:rPr>
            <w:rFonts w:ascii="Cambria Math" w:hAnsi="Cambria Math" w:eastAsia="Cambria Math" w:cs="Cambria Math"/>
            <w:sz w:val="20"/>
            <w:szCs w:val="20"/>
          </w:rPr>
          <m:t>T</m:t>
        </m:r>
      </m:oMath>
      <w:r>
        <w:rPr>
          <w:sz w:val="20"/>
          <w:szCs w:val="20"/>
        </w:rPr>
        <w:t xml:space="preserve"> </w:t>
      </w:r>
      <w:r>
        <w:rPr>
          <w:rFonts w:hint="eastAsia"/>
          <w:sz w:val="20"/>
          <w:szCs w:val="20"/>
        </w:rPr>
        <w:t>表示转置，</w:t>
      </w:r>
      <m:oMath>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表示</w:t>
      </w:r>
      <w:r>
        <w:rPr>
          <w:sz w:val="20"/>
          <w:szCs w:val="20"/>
        </w:rPr>
        <w:t xml:space="preserve"> Moore–Penrose </w:t>
      </w:r>
      <w:r>
        <w:rPr>
          <w:rFonts w:hint="eastAsia"/>
          <w:sz w:val="20"/>
          <w:szCs w:val="20"/>
        </w:rPr>
        <w:t>伪逆；</w:t>
      </w:r>
      <m:oMath>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sSub>
          <m:sSubPr/>
          <m:e>
            <m:r>
              <m:rPr>
                <m:sty m:val="p"/>
              </m:rPr>
              <w:rPr>
                <w:rFonts w:ascii="Cambria Math" w:hAnsi="Cambria Math" w:eastAsia="Cambria Math" w:cs="Cambria Math"/>
                <w:sz w:val="20"/>
                <w:szCs w:val="20"/>
              </w:rPr>
              <m:t>]</m:t>
            </m:r>
          </m:e>
          <m:sub>
            <m:r>
              <m:rPr>
                <m:sty m:val="p"/>
              </m:rPr>
              <w:rPr>
                <w:rFonts w:ascii="Cambria Math" w:hAnsi="Cambria Math" w:eastAsia="Cambria Math" w:cs="Cambria Math"/>
                <w:sz w:val="20"/>
                <w:szCs w:val="20"/>
              </w:rPr>
              <m:t>×</m:t>
            </m:r>
          </m:sub>
        </m:sSub>
        <m:r>
          <m:rPr>
            <m:sty m:val="bi"/>
          </m:rPr>
          <w:rPr>
            <w:rFonts w:ascii="Cambria Math" w:hAnsi="Cambria Math" w:eastAsia="Cambria Math" w:cs="Cambria Math"/>
            <w:sz w:val="20"/>
            <w:szCs w:val="20"/>
          </w:rPr>
          <m:t>y</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y</m:t>
        </m:r>
      </m:oMath>
      <w:r>
        <w:rPr>
          <w:sz w:val="20"/>
          <w:szCs w:val="20"/>
        </w:rPr>
        <w:t>。</w:t>
      </w:r>
      <m:oMath>
        <m:sSub>
          <m:sSubPr/>
          <m:e>
            <m:r>
              <m:rPr>
                <m:sty m:val="b"/>
              </m:rPr>
              <w:rPr>
                <w:rFonts w:ascii="Cambria Math" w:hAnsi="Cambria Math" w:eastAsia="Cambria Math" w:cs="Cambria Math"/>
                <w:sz w:val="20"/>
                <w:szCs w:val="20"/>
              </w:rPr>
              <m:t>I</m:t>
            </m:r>
          </m:e>
          <m:sub>
            <m:r>
              <m:rPr/>
              <w:rPr>
                <w:rFonts w:ascii="Cambria Math" w:hAnsi="Cambria Math" w:eastAsia="Cambria Math" w:cs="Cambria Math"/>
                <w:sz w:val="20"/>
                <w:szCs w:val="20"/>
              </w:rPr>
              <m:t>n</m:t>
            </m:r>
          </m:sub>
        </m:sSub>
      </m:oMath>
      <w:r>
        <w:rPr>
          <w:sz w:val="20"/>
          <w:szCs w:val="20"/>
        </w:rPr>
        <w:t xml:space="preserve"> </w:t>
      </w:r>
      <w:r>
        <w:rPr>
          <w:rFonts w:hint="eastAsia"/>
          <w:sz w:val="20"/>
          <w:szCs w:val="20"/>
        </w:rPr>
        <w:t>为</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阶单位矩阵，惯性张量另记为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或</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hint="eastAsia"/>
          <w:sz w:val="20"/>
          <w:szCs w:val="20"/>
        </w:rPr>
        <w:t>。符号</w:t>
      </w:r>
      <w:r>
        <w:rPr>
          <w:sz w:val="20"/>
          <w:szCs w:val="20"/>
        </w:rPr>
        <w:t xml:space="preserve"> </w:t>
      </w:r>
      <m:oMath>
        <m:r>
          <m:rPr>
            <m:sty m:val="p"/>
          </m:rPr>
          <w:rPr>
            <w:rFonts w:ascii="Cambria Math" w:hAnsi="Cambria Math" w:eastAsia="Cambria Math" w:cs="Cambria Math"/>
            <w:sz w:val="20"/>
            <w:szCs w:val="20"/>
          </w:rPr>
          <m:t>d</m:t>
        </m:r>
      </m:oMath>
      <w:r>
        <w:rPr>
          <w:sz w:val="20"/>
          <w:szCs w:val="20"/>
        </w:rPr>
        <w:t>、</w:t>
      </w:r>
      <m:oMath>
        <m:r>
          <m:rPr>
            <m:sty m:val="p"/>
          </m:rPr>
          <w:rPr>
            <w:rFonts w:ascii="Cambria Math" w:hAnsi="Cambria Math" w:eastAsia="Cambria Math" w:cs="Cambria Math"/>
            <w:sz w:val="20"/>
            <w:szCs w:val="20"/>
          </w:rPr>
          <m:t>ff</m:t>
        </m:r>
      </m:oMath>
      <w:r>
        <w:rPr>
          <w:sz w:val="20"/>
          <w:szCs w:val="20"/>
        </w:rPr>
        <w:t xml:space="preserve"> </w:t>
      </w:r>
      <w:r>
        <w:rPr>
          <w:rFonts w:hint="eastAsia"/>
          <w:sz w:val="20"/>
          <w:szCs w:val="20"/>
        </w:rPr>
        <w:t>和</w:t>
      </w:r>
      <w:r>
        <w:rPr>
          <w:sz w:val="20"/>
          <w:szCs w:val="20"/>
        </w:rPr>
        <w:t xml:space="preserve"> </w:t>
      </w:r>
      <m:oMath>
        <m:r>
          <m:rPr>
            <m:sty m:val="p"/>
          </m:rPr>
          <w:rPr>
            <w:rFonts w:ascii="Cambria Math" w:hAnsi="Cambria Math" w:eastAsia="Cambria Math" w:cs="Cambria Math"/>
            <w:sz w:val="20"/>
            <w:szCs w:val="20"/>
          </w:rPr>
          <m:t>fb</m:t>
        </m:r>
      </m:oMath>
      <w:r>
        <w:rPr>
          <w:sz w:val="20"/>
          <w:szCs w:val="20"/>
        </w:rPr>
        <w:t xml:space="preserve"> </w:t>
      </w:r>
      <w:r>
        <w:rPr>
          <w:rFonts w:hint="eastAsia"/>
          <w:sz w:val="20"/>
          <w:szCs w:val="20"/>
        </w:rPr>
        <w:t>分别表示期望、前馈和反馈量。长度、时间和角度统一采用国际单位制。</w:t>
      </w:r>
    </w:p>
    <w:p w14:paraId="392E0DE0">
      <w:pPr>
        <w:pStyle w:val="7"/>
        <w:numPr>
          <w:ilvl w:val="0"/>
          <w:numId w:val="0"/>
        </w:numPr>
        <w:snapToGrid w:val="0"/>
        <w:rPr>
          <w:sz w:val="20"/>
        </w:rPr>
      </w:pPr>
      <w:r>
        <w:rPr>
          <w:rFonts w:hint="eastAsia"/>
          <w:sz w:val="20"/>
          <w:szCs w:val="20"/>
        </w:rPr>
        <w:t>定义惯性系</w:t>
      </w:r>
      <w:r>
        <w:rPr>
          <w:sz w:val="20"/>
          <w:szCs w:val="20"/>
        </w:rPr>
        <w:t xml:space="preserve"> </w:t>
      </w:r>
      <m:oMath>
        <m:r>
          <m:rPr>
            <m:sty m:val="p"/>
          </m:rPr>
          <w:rPr>
            <w:rFonts w:ascii="Cambria Math" w:hAnsi="Cambria Math" w:eastAsia="Cambria Math" w:cs="Cambria Math"/>
            <w:sz w:val="20"/>
            <w:szCs w:val="20"/>
          </w:rPr>
          <m:t>{s}</m:t>
        </m:r>
      </m:oMath>
      <w:r>
        <w:rPr>
          <w:sz w:val="20"/>
          <w:szCs w:val="20"/>
        </w:rPr>
        <w:t xml:space="preserve"> </w:t>
      </w:r>
      <w:r>
        <w:rPr>
          <w:rFonts w:hint="eastAsia"/>
          <w:sz w:val="20"/>
          <w:szCs w:val="20"/>
        </w:rPr>
        <w:t>的竖直轴向上；机体系</w:t>
      </w:r>
      <w:r>
        <w:rPr>
          <w:sz w:val="20"/>
          <w:szCs w:val="20"/>
        </w:rPr>
        <w:t xml:space="preserve"> </w:t>
      </w:r>
      <m:oMath>
        <m:r>
          <m:rPr>
            <m:sty m:val="p"/>
          </m:rPr>
          <w:rPr>
            <w:rFonts w:ascii="Cambria Math" w:hAnsi="Cambria Math" w:eastAsia="Cambria Math" w:cs="Cambria Math"/>
            <w:sz w:val="20"/>
            <w:szCs w:val="20"/>
          </w:rPr>
          <m:t>{b}</m:t>
        </m:r>
      </m:oMath>
      <w:r>
        <w:rPr>
          <w:sz w:val="20"/>
          <w:szCs w:val="20"/>
        </w:rPr>
        <w:t xml:space="preserve"> </w:t>
      </w:r>
      <w:r>
        <w:rPr>
          <w:rFonts w:hint="eastAsia"/>
          <w:sz w:val="20"/>
          <w:szCs w:val="20"/>
        </w:rPr>
        <w:t>固连底盘，原点位于基座中心，</w:t>
      </w:r>
      <m:oMath>
        <m:r>
          <m:rPr/>
          <w:rPr>
            <w:rFonts w:ascii="Cambria Math" w:hAnsi="Cambria Math" w:eastAsia="Cambria Math" w:cs="Cambria Math"/>
            <w:sz w:val="20"/>
            <w:szCs w:val="20"/>
          </w:rPr>
          <m:t>x</m:t>
        </m:r>
      </m:oMath>
      <w:r>
        <w:rPr>
          <w:sz w:val="20"/>
          <w:szCs w:val="20"/>
        </w:rPr>
        <w:t xml:space="preserve"> </w:t>
      </w:r>
      <w:r>
        <w:rPr>
          <w:rFonts w:hint="eastAsia"/>
          <w:sz w:val="20"/>
          <w:szCs w:val="20"/>
        </w:rPr>
        <w:t>轴向前、</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轴向左、</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轴向上。腿基系</w:t>
      </w:r>
      <w:r>
        <w:rPr>
          <w:sz w:val="20"/>
          <w:szCs w:val="20"/>
        </w:rPr>
        <w:t xml:space="preserve"> </w:t>
      </w:r>
      <m:oMath>
        <m:r>
          <m:rPr>
            <m:sty m:val="p"/>
          </m:rPr>
          <w:rPr>
            <w:rFonts w:ascii="Cambria Math" w:hAnsi="Cambria Math" w:eastAsia="Cambria Math" w:cs="Cambria Math"/>
            <w:sz w:val="20"/>
            <w:szCs w:val="20"/>
          </w:rPr>
          <m:t>{</m:t>
        </m:r>
        <m:sSub>
          <m:sSubPr/>
          <m:e>
            <m:r>
              <m:rPr>
                <m:sty m:val="p"/>
              </m:rPr>
              <w:rPr>
                <w:rFonts w:ascii="Cambria Math" w:hAnsi="Cambria Math" w:eastAsia="Cambria Math" w:cs="Cambria Math"/>
                <w:sz w:val="20"/>
                <w:szCs w:val="20"/>
              </w:rPr>
              <m:t>leg</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位于第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个髋部，腿部运动平面为其</w:t>
      </w:r>
      <w:r>
        <w:rPr>
          <w:sz w:val="20"/>
          <w:szCs w:val="20"/>
        </w:rPr>
        <w:t xml:space="preserve"> </w:t>
      </w:r>
      <m:oMath>
        <m:r>
          <m:rPr/>
          <w:rPr>
            <w:rFonts w:ascii="Cambria Math" w:hAnsi="Cambria Math" w:eastAsia="Cambria Math" w:cs="Cambria Math"/>
            <w:sz w:val="20"/>
            <w:szCs w:val="20"/>
          </w:rPr>
          <m:t>xy</m:t>
        </m:r>
      </m:oMath>
      <w:r>
        <w:rPr>
          <w:sz w:val="20"/>
          <w:szCs w:val="20"/>
        </w:rPr>
        <w:t xml:space="preserve"> </w:t>
      </w:r>
      <w:r>
        <w:rPr>
          <w:rFonts w:hint="eastAsia"/>
          <w:sz w:val="20"/>
          <w:szCs w:val="20"/>
        </w:rPr>
        <w:t>平面。</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oMath>
      <w:r>
        <w:rPr>
          <w:sz w:val="20"/>
          <w:szCs w:val="20"/>
        </w:rPr>
        <w:t xml:space="preserve"> </w:t>
      </w:r>
      <w:r>
        <w:rPr>
          <w:rFonts w:hint="eastAsia"/>
          <w:sz w:val="20"/>
          <w:szCs w:val="20"/>
        </w:rPr>
        <w:t>将机体系分量变换至惯性系。力矩计算涉及的各矢量必须先变换至同一坐标系；基座中心与整机质心不重合时，力臂必须相对于质心重新计算。</w:t>
      </w:r>
    </w:p>
    <w:bookmarkEnd w:id="7"/>
    <w:p w14:paraId="74A6E45F">
      <w:pPr>
        <w:pStyle w:val="3"/>
        <w:numPr>
          <w:ilvl w:val="1"/>
          <w:numId w:val="0"/>
        </w:numPr>
        <w:snapToGrid w:val="0"/>
      </w:pPr>
      <w:bookmarkStart w:id="8" w:name="b.-底盘模块"/>
      <w:r>
        <w:t xml:space="preserve">B. </w:t>
      </w:r>
      <w:r>
        <w:rPr>
          <w:rFonts w:hint="eastAsia"/>
        </w:rPr>
        <w:t>底盘模块</w:t>
      </w:r>
    </w:p>
    <w:p w14:paraId="05A1A8C5">
      <w:pPr>
        <w:pStyle w:val="4"/>
        <w:numPr>
          <w:ilvl w:val="2"/>
          <w:numId w:val="0"/>
        </w:numPr>
        <w:snapToGrid w:val="0"/>
      </w:pPr>
      <w:bookmarkStart w:id="9" w:name="概述与单腿运动学"/>
      <w:r>
        <w:t xml:space="preserve">1) </w:t>
      </w:r>
      <w:r>
        <w:rPr>
          <w:rFonts w:hint="eastAsia"/>
        </w:rPr>
        <w:t>概述与单腿运动学</w:t>
      </w:r>
    </w:p>
    <w:p w14:paraId="611F275C">
      <w:pPr>
        <w:pStyle w:val="7"/>
        <w:numPr>
          <w:ilvl w:val="0"/>
          <w:numId w:val="0"/>
        </w:numPr>
        <w:snapToGrid w:val="0"/>
        <w:rPr>
          <w:sz w:val="20"/>
        </w:rPr>
      </w:pPr>
      <w:r>
        <w:rPr>
          <w:rFonts w:hint="eastAsia"/>
          <w:sz w:val="20"/>
          <w:szCs w:val="20"/>
        </w:rPr>
        <w:t>底盘由基座与四条腿组成，每条腿包含轴线平行的髋部俯仰关节、膝关节和一个麦克纳姆轮，共十二个主动自由度。控制沿用“单腿建模—整机合力分配—关节执行”的分层结构。腿部关节调整支撑高度与前后轮心位置，车轮负责平面滚动。</w:t>
      </w:r>
    </w:p>
    <w:p w14:paraId="01C29899">
      <w:pPr>
        <w:pStyle w:val="7"/>
        <w:numPr>
          <w:ilvl w:val="0"/>
          <w:numId w:val="0"/>
        </w:numPr>
        <w:snapToGrid w:val="0"/>
        <w:rPr>
          <w:sz w:val="20"/>
        </w:rPr>
      </w:pPr>
      <w:r>
        <w:rPr>
          <w:rFonts w:hint="eastAsia"/>
          <w:sz w:val="20"/>
          <w:szCs w:val="20"/>
        </w:rPr>
        <w:t>设单腿关节角为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，大腿和小腿长度为</w:t>
      </w:r>
      <w:r>
        <w:rPr>
          <w:sz w:val="20"/>
          <w:szCs w:val="20"/>
        </w:rPr>
        <w:t xml:space="preserve"> </w:t>
      </w:r>
      <m:oMath>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rFonts w:hint="eastAsia"/>
          <w:sz w:val="20"/>
          <w:szCs w:val="20"/>
        </w:rPr>
        <w:t>；轮心位置为</w:t>
      </w:r>
      <w:r>
        <w:rPr>
          <w:sz w:val="20"/>
          <w:szCs w:val="20"/>
        </w:rPr>
        <w:t xml:space="preserve"> </w:t>
      </w:r>
      <m:oMath>
        <m:sSubSup>
          <m:sSubSup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sub>
          <m:sup>
            <m:r>
              <m:rPr>
                <m:sty m:val="p"/>
              </m:rPr>
              <w:rPr>
                <w:rFonts w:ascii="Cambria Math" w:hAnsi="Cambria Math" w:eastAsia="Cambria Math" w:cs="Cambria Math"/>
                <w:sz w:val="20"/>
                <w:szCs w:val="20"/>
              </w:rPr>
              <m:t>leg</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。此处将原稿“足端位置”明确为轮轴中心，区别于轮地触点。零位为两连杆沿腿基系负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轴伸直，关节角正向由下式确定。几何参数见</w:t>
      </w:r>
      <w:r>
        <w:rPr>
          <w:sz w:val="20"/>
          <w:szCs w:val="20"/>
        </w:rPr>
        <w:t xml:space="preserve"> TABLE </w:t>
      </w:r>
      <w:r>
        <w:rPr>
          <w:rFonts w:hint="eastAsia"/>
          <w:sz w:val="20"/>
          <w:szCs w:val="20"/>
        </w:rPr>
        <w:t>I，Fig.</w:t>
      </w:r>
      <w:r>
        <w:rPr>
          <w:sz w:val="20"/>
          <w:szCs w:val="20"/>
        </w:rPr>
        <w:t xml:space="preserve"> 2 </w:t>
      </w:r>
      <w:r>
        <w:rPr>
          <w:rFonts w:hint="eastAsia"/>
          <w:sz w:val="20"/>
          <w:szCs w:val="20"/>
        </w:rPr>
        <w:t>给出单腿结构与坐标系示意。</w:t>
      </w:r>
    </w:p>
    <w:p w14:paraId="0B118FC6">
      <w:pPr>
        <w:keepNext/>
        <w:keepLines/>
        <w:numPr>
          <w:ilvl w:val="0"/>
          <w:numId w:val="0"/>
        </w:numPr>
        <w:snapToGrid w:val="0"/>
        <w:spacing w:before="60" w:after="60" w:line="240" w:lineRule="auto"/>
        <w:ind w:left="0" w:right="0" w:firstLine="0"/>
        <w:jc w:val="center"/>
      </w:pPr>
      <w:r>
        <w:drawing>
          <wp:inline distT="0" distB="0" distL="0" distR="0">
            <wp:extent cx="1619885" cy="2446655"/>
            <wp:effectExtent l="0" t="0" r="8890" b="1270"/>
            <wp:docPr id="24" name="Fig. 2" descr="单腿结构与坐标系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 2" descr="单腿结构与坐标系示意图"/>
                    <pic:cNvPicPr>
                      <a:picLocks noChangeAspect="1"/>
                    </pic:cNvPicPr>
                  </pic:nvPicPr>
                  <pic:blipFill>
                    <a:blip r:embed="rId4"/>
                    <a:stretch>
                      <a:fillRect/>
                    </a:stretch>
                  </pic:blipFill>
                  <pic:spPr>
                    <a:xfrm>
                      <a:off x="0" y="0"/>
                      <a:ext cx="1620000" cy="2447057"/>
                    </a:xfrm>
                    <a:prstGeom prst="rect">
                      <a:avLst/>
                    </a:prstGeom>
                  </pic:spPr>
                </pic:pic>
              </a:graphicData>
            </a:graphic>
          </wp:inline>
        </w:drawing>
      </w:r>
    </w:p>
    <w:p w14:paraId="32CE6D78">
      <w:pPr>
        <w:pStyle w:val="18"/>
        <w:numPr>
          <w:ilvl w:val="0"/>
          <w:numId w:val="0"/>
        </w:numPr>
        <w:snapToGrid w:val="0"/>
      </w:pPr>
      <w:r>
        <w:rPr>
          <w:iCs/>
        </w:rPr>
        <w:t xml:space="preserve">Fig. 2. </w:t>
      </w:r>
      <w:r>
        <w:rPr>
          <w:rFonts w:hint="eastAsia"/>
          <w:iCs/>
        </w:rPr>
        <w:t>单腿结构与坐标系示意（图中角度标记沿用原图，解算零位以正文为准）。</w:t>
      </w:r>
    </w:p>
    <w:p w14:paraId="38AB9F18">
      <w:pPr>
        <w:pStyle w:val="28"/>
        <w:keepNext/>
        <w:numPr>
          <w:ilvl w:val="0"/>
          <w:numId w:val="0"/>
        </w:numPr>
        <w:snapToGrid w:val="0"/>
      </w:pPr>
      <w:r>
        <w:rPr>
          <w:bCs/>
        </w:rPr>
        <w:t xml:space="preserve">TABLE I. </w:t>
      </w:r>
      <w:r>
        <w:rPr>
          <w:rFonts w:hint="eastAsia"/>
          <w:bCs/>
        </w:rPr>
        <w:t>单腿几何与传动参数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63A1967D">
        <w:trPr>
          <w:cantSplit/>
          <w:tblHeader/>
        </w:trPr>
        <w:tc>
          <w:tcPr>
            <w:tcW w:w="1622" w:type="dxa"/>
          </w:tcPr>
          <w:p w14:paraId="0CCFCAD1">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083BD52D">
            <w:pPr>
              <w:pStyle w:val="24"/>
              <w:keepNext/>
              <w:numPr>
                <w:ilvl w:val="0"/>
                <w:numId w:val="0"/>
              </w:numPr>
              <w:snapToGrid w:val="0"/>
              <w:spacing w:before="0" w:after="0" w:line="240" w:lineRule="auto"/>
              <w:rPr>
                <w:sz w:val="16"/>
              </w:rPr>
            </w:pPr>
            <w:r>
              <w:rPr>
                <w:rFonts w:hint="eastAsia"/>
                <w:sz w:val="16"/>
                <w:szCs w:val="16"/>
              </w:rPr>
              <w:t>数值或单位</w:t>
            </w:r>
          </w:p>
        </w:tc>
        <w:tc>
          <w:tcPr>
            <w:tcW w:w="1622" w:type="dxa"/>
          </w:tcPr>
          <w:p w14:paraId="2AA1B208">
            <w:pPr>
              <w:pStyle w:val="24"/>
              <w:keepNext/>
              <w:numPr>
                <w:ilvl w:val="0"/>
                <w:numId w:val="0"/>
              </w:numPr>
              <w:snapToGrid w:val="0"/>
              <w:spacing w:before="0" w:after="0" w:line="240" w:lineRule="auto"/>
              <w:rPr>
                <w:sz w:val="16"/>
              </w:rPr>
            </w:pPr>
            <w:r>
              <w:rPr>
                <w:rFonts w:hint="eastAsia"/>
                <w:sz w:val="16"/>
                <w:szCs w:val="16"/>
              </w:rPr>
              <w:t>定义</w:t>
            </w:r>
          </w:p>
        </w:tc>
      </w:tr>
      <w:tr w14:paraId="33053C7C">
        <w:trPr>
          <w:cantSplit/>
        </w:trPr>
        <w:tc>
          <w:tcPr>
            <w:tcW w:w="1622" w:type="dxa"/>
          </w:tcPr>
          <w:p w14:paraId="498C22E1">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1</m:t>
                    </m:r>
                  </m:sub>
                </m:sSub>
              </m:oMath>
            </m:oMathPara>
          </w:p>
        </w:tc>
        <w:tc>
          <w:tcPr>
            <w:tcW w:w="1622" w:type="dxa"/>
          </w:tcPr>
          <w:p w14:paraId="5781D1CC">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0.170 </m:t>
                </m:r>
                <m:r>
                  <m:rPr>
                    <m:sty m:val="p"/>
                  </m:rPr>
                  <w:rPr>
                    <w:rFonts w:ascii="Cambria Math" w:hAnsi="Cambria Math" w:eastAsia="Cambria Math" w:cs="Cambria Math"/>
                    <w:sz w:val="16"/>
                    <w:szCs w:val="16"/>
                  </w:rPr>
                  <m:t>m</m:t>
                </m:r>
              </m:oMath>
            </m:oMathPara>
          </w:p>
        </w:tc>
        <w:tc>
          <w:tcPr>
            <w:tcW w:w="1622" w:type="dxa"/>
          </w:tcPr>
          <w:p w14:paraId="3617E046">
            <w:pPr>
              <w:pStyle w:val="26"/>
              <w:keepNext/>
              <w:numPr>
                <w:ilvl w:val="0"/>
                <w:numId w:val="0"/>
              </w:numPr>
              <w:snapToGrid w:val="0"/>
              <w:spacing w:before="0" w:after="0" w:line="240" w:lineRule="auto"/>
              <w:rPr>
                <w:sz w:val="16"/>
              </w:rPr>
            </w:pPr>
            <w:r>
              <w:rPr>
                <w:rFonts w:hint="eastAsia"/>
                <w:sz w:val="16"/>
                <w:szCs w:val="16"/>
              </w:rPr>
              <w:t>大腿关节中心距</w:t>
            </w:r>
            <w:r>
              <w:rPr>
                <w:sz w:val="16"/>
                <w:szCs w:val="16"/>
              </w:rPr>
              <w:t xml:space="preserve"> [5]</w:t>
            </w:r>
          </w:p>
        </w:tc>
      </w:tr>
      <w:tr w14:paraId="6510FC3D">
        <w:trPr>
          <w:cantSplit/>
        </w:trPr>
        <w:tc>
          <w:tcPr>
            <w:tcW w:w="1622" w:type="dxa"/>
          </w:tcPr>
          <w:p w14:paraId="332A9855">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2</m:t>
                    </m:r>
                  </m:sub>
                </m:sSub>
              </m:oMath>
            </m:oMathPara>
          </w:p>
        </w:tc>
        <w:tc>
          <w:tcPr>
            <w:tcW w:w="1622" w:type="dxa"/>
          </w:tcPr>
          <w:p w14:paraId="5CF29403">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0.220 </m:t>
                </m:r>
                <m:r>
                  <m:rPr>
                    <m:sty m:val="p"/>
                  </m:rPr>
                  <w:rPr>
                    <w:rFonts w:ascii="Cambria Math" w:hAnsi="Cambria Math" w:eastAsia="Cambria Math" w:cs="Cambria Math"/>
                    <w:sz w:val="16"/>
                    <w:szCs w:val="16"/>
                  </w:rPr>
                  <m:t>m</m:t>
                </m:r>
              </m:oMath>
            </m:oMathPara>
          </w:p>
        </w:tc>
        <w:tc>
          <w:tcPr>
            <w:tcW w:w="1622" w:type="dxa"/>
          </w:tcPr>
          <w:p w14:paraId="7D3715F6">
            <w:pPr>
              <w:pStyle w:val="26"/>
              <w:keepNext/>
              <w:numPr>
                <w:ilvl w:val="0"/>
                <w:numId w:val="0"/>
              </w:numPr>
              <w:snapToGrid w:val="0"/>
              <w:spacing w:before="0" w:after="0" w:line="240" w:lineRule="auto"/>
              <w:rPr>
                <w:sz w:val="16"/>
              </w:rPr>
            </w:pPr>
            <w:r>
              <w:rPr>
                <w:rFonts w:hint="eastAsia"/>
                <w:sz w:val="16"/>
                <w:szCs w:val="16"/>
              </w:rPr>
              <w:t>小腿关节中心距</w:t>
            </w:r>
            <w:r>
              <w:rPr>
                <w:sz w:val="16"/>
                <w:szCs w:val="16"/>
              </w:rPr>
              <w:t xml:space="preserve"> [5]</w:t>
            </w:r>
          </w:p>
        </w:tc>
      </w:tr>
      <w:tr w14:paraId="336D580A">
        <w:trPr>
          <w:cantSplit/>
        </w:trPr>
        <w:tc>
          <w:tcPr>
            <w:tcW w:w="1622" w:type="dxa"/>
          </w:tcPr>
          <w:p w14:paraId="4DC9C8BB">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1</m:t>
                    </m:r>
                  </m:sub>
                </m:sSub>
                <m:r>
                  <m:rPr>
                    <m:sty m:val="p"/>
                  </m:rPr>
                  <w:rPr>
                    <w:rFonts w:ascii="Cambria Math" w:hAnsi="Cambria Math" w:eastAsia="Cambria Math" w:cs="Cambria Math"/>
                    <w:sz w:val="16"/>
                    <w:szCs w:val="16"/>
                  </w:rPr>
                  <m:t>,</m:t>
                </m:r>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2</m:t>
                    </m:r>
                  </m:sub>
                </m:sSub>
              </m:oMath>
            </m:oMathPara>
          </w:p>
        </w:tc>
        <w:tc>
          <w:tcPr>
            <w:tcW w:w="1622" w:type="dxa"/>
          </w:tcPr>
          <w:p w14:paraId="76C5890D">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1ABC1685">
            <w:pPr>
              <w:pStyle w:val="26"/>
              <w:keepNext/>
              <w:numPr>
                <w:ilvl w:val="0"/>
                <w:numId w:val="0"/>
              </w:numPr>
              <w:snapToGrid w:val="0"/>
              <w:spacing w:before="0" w:after="0" w:line="240" w:lineRule="auto"/>
              <w:rPr>
                <w:sz w:val="16"/>
              </w:rPr>
            </w:pPr>
            <w:r>
              <w:rPr>
                <w:rFonts w:hint="eastAsia"/>
                <w:sz w:val="16"/>
                <w:szCs w:val="16"/>
              </w:rPr>
              <w:t>等效串联关节角</w:t>
            </w:r>
          </w:p>
        </w:tc>
      </w:tr>
      <w:tr w14:paraId="76CE8C87">
        <w:trPr>
          <w:cantSplit/>
        </w:trPr>
        <w:tc>
          <w:tcPr>
            <w:tcW w:w="1622" w:type="dxa"/>
          </w:tcPr>
          <w:p w14:paraId="5859855E">
            <w:pPr>
              <w:pStyle w:val="26"/>
              <w:keepNext/>
              <w:numPr>
                <w:ilvl w:val="0"/>
                <w:numId w:val="0"/>
              </w:numPr>
              <w:snapToGrid w:val="0"/>
              <w:spacing w:before="0" w:after="0" w:line="240" w:lineRule="auto"/>
              <w:rPr>
                <w:sz w:val="16"/>
              </w:rPr>
            </w:pPr>
            <m:oMathPara>
              <m:oMath>
                <m:sSub>
                  <m:sSubPr/>
                  <m:e>
                    <m:r>
                      <m:rPr>
                        <m:sty m:val="bi"/>
                      </m:rPr>
                      <w:rPr>
                        <w:rFonts w:ascii="Cambria Math" w:hAnsi="Cambria Math" w:eastAsia="Cambria Math" w:cs="Cambria Math"/>
                        <w:sz w:val="16"/>
                        <w:szCs w:val="16"/>
                      </w:rPr>
                      <m:t>η</m:t>
                    </m:r>
                  </m:e>
                  <m:sub>
                    <m:r>
                      <m:rPr>
                        <m:sty m:val="p"/>
                      </m:rPr>
                      <w:rPr>
                        <w:rFonts w:ascii="Cambria Math" w:hAnsi="Cambria Math" w:eastAsia="Cambria Math" w:cs="Cambria Math"/>
                        <w:sz w:val="16"/>
                        <w:szCs w:val="16"/>
                      </w:rPr>
                      <m:t>leg</m:t>
                    </m:r>
                  </m:sub>
                </m:sSub>
              </m:oMath>
            </m:oMathPara>
          </w:p>
        </w:tc>
        <w:tc>
          <w:tcPr>
            <w:tcW w:w="1622" w:type="dxa"/>
          </w:tcPr>
          <w:p w14:paraId="6F9D69D2">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0DB6DF48">
            <w:pPr>
              <w:pStyle w:val="26"/>
              <w:keepNext/>
              <w:numPr>
                <w:ilvl w:val="0"/>
                <w:numId w:val="0"/>
              </w:numPr>
              <w:snapToGrid w:val="0"/>
              <w:spacing w:before="0" w:after="0" w:line="240" w:lineRule="auto"/>
              <w:rPr>
                <w:sz w:val="16"/>
              </w:rPr>
            </w:pPr>
            <w:r>
              <w:rPr>
                <w:rFonts w:hint="eastAsia"/>
                <w:sz w:val="16"/>
                <w:szCs w:val="16"/>
              </w:rPr>
              <w:t>两路髋部驱动输出轴角</w:t>
            </w:r>
          </w:p>
        </w:tc>
      </w:tr>
      <w:tr w14:paraId="4DB2870E">
        <w:trPr>
          <w:cantSplit/>
        </w:trPr>
        <w:tc>
          <w:tcPr>
            <w:tcW w:w="1622" w:type="dxa"/>
          </w:tcPr>
          <w:p w14:paraId="761F4959">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m</m:t>
                    </m:r>
                  </m:e>
                  <m:sub>
                    <m:r>
                      <m:rPr>
                        <m:sty m:val="p"/>
                      </m:rPr>
                      <w:rPr>
                        <w:rFonts w:ascii="Cambria Math" w:hAnsi="Cambria Math" w:eastAsia="Cambria Math" w:cs="Cambria Math"/>
                        <w:sz w:val="16"/>
                        <w:szCs w:val="16"/>
                      </w:rPr>
                      <m:t>w</m:t>
                    </m:r>
                  </m:sub>
                </m:sSub>
              </m:oMath>
            </m:oMathPara>
          </w:p>
        </w:tc>
        <w:tc>
          <w:tcPr>
            <w:tcW w:w="1622" w:type="dxa"/>
          </w:tcPr>
          <w:p w14:paraId="372BBB3D">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0.547 </m:t>
                </m:r>
                <m:r>
                  <m:rPr>
                    <m:sty m:val="p"/>
                  </m:rPr>
                  <w:rPr>
                    <w:rFonts w:ascii="Cambria Math" w:hAnsi="Cambria Math" w:eastAsia="Cambria Math" w:cs="Cambria Math"/>
                    <w:sz w:val="16"/>
                    <w:szCs w:val="16"/>
                  </w:rPr>
                  <m:t>kg</m:t>
                </m:r>
              </m:oMath>
            </m:oMathPara>
          </w:p>
        </w:tc>
        <w:tc>
          <w:tcPr>
            <w:tcW w:w="1622" w:type="dxa"/>
          </w:tcPr>
          <w:p w14:paraId="69602A6F">
            <w:pPr>
              <w:pStyle w:val="26"/>
              <w:keepNext/>
              <w:numPr>
                <w:ilvl w:val="0"/>
                <w:numId w:val="0"/>
              </w:numPr>
              <w:snapToGrid w:val="0"/>
              <w:spacing w:before="0" w:after="0" w:line="240" w:lineRule="auto"/>
              <w:rPr>
                <w:sz w:val="16"/>
              </w:rPr>
            </w:pPr>
            <w:r>
              <w:rPr>
                <w:rFonts w:hint="eastAsia"/>
                <w:sz w:val="16"/>
                <w:szCs w:val="16"/>
              </w:rPr>
              <w:t>单轮模型质量</w:t>
            </w:r>
            <w:r>
              <w:rPr>
                <w:sz w:val="16"/>
                <w:szCs w:val="16"/>
              </w:rPr>
              <w:t xml:space="preserve"> [4]</w:t>
            </w:r>
          </w:p>
        </w:tc>
      </w:tr>
      <w:tr w14:paraId="5C436678">
        <w:trPr>
          <w:cantSplit/>
        </w:trPr>
        <w:tc>
          <w:tcPr>
            <w:tcW w:w="1622" w:type="dxa"/>
          </w:tcPr>
          <w:p w14:paraId="4FEDFE37">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w</m:t>
                    </m:r>
                  </m:sub>
                </m:sSub>
              </m:oMath>
            </m:oMathPara>
          </w:p>
        </w:tc>
        <w:tc>
          <w:tcPr>
            <w:tcW w:w="1622" w:type="dxa"/>
          </w:tcPr>
          <w:p w14:paraId="09FEA26A">
            <w:pPr>
              <w:pStyle w:val="26"/>
              <w:keepNext w:val="0"/>
              <w:numPr>
                <w:ilvl w:val="0"/>
                <w:numId w:val="0"/>
              </w:numPr>
              <w:snapToGrid w:val="0"/>
              <w:spacing w:before="0" w:after="0" w:line="240" w:lineRule="auto"/>
              <w:rPr>
                <w:sz w:val="16"/>
              </w:rPr>
            </w:pPr>
            <m:oMath>
              <m:r>
                <m:rPr>
                  <m:sty m:val="p"/>
                </m:rPr>
                <w:rPr>
                  <w:rFonts w:ascii="Cambria Math" w:hAnsi="Cambria Math" w:eastAsia="Cambria Math" w:cs="Cambria Math"/>
                  <w:sz w:val="16"/>
                  <w:szCs w:val="16"/>
                </w:rPr>
                <m:t>m</m:t>
              </m:r>
            </m:oMath>
            <w:r>
              <w:rPr>
                <w:rFonts w:hint="eastAsia"/>
                <w:sz w:val="16"/>
                <w:szCs w:val="16"/>
              </w:rPr>
              <w:t>，待标定</w:t>
            </w:r>
          </w:p>
        </w:tc>
        <w:tc>
          <w:tcPr>
            <w:tcW w:w="1622" w:type="dxa"/>
          </w:tcPr>
          <w:p w14:paraId="7CE2266D">
            <w:pPr>
              <w:pStyle w:val="26"/>
              <w:keepNext w:val="0"/>
              <w:numPr>
                <w:ilvl w:val="0"/>
                <w:numId w:val="0"/>
              </w:numPr>
              <w:snapToGrid w:val="0"/>
              <w:spacing w:before="0" w:after="0" w:line="240" w:lineRule="auto"/>
              <w:rPr>
                <w:sz w:val="16"/>
              </w:rPr>
            </w:pPr>
            <w:r>
              <w:rPr>
                <w:rFonts w:hint="eastAsia"/>
                <w:sz w:val="16"/>
                <w:szCs w:val="16"/>
              </w:rPr>
              <w:t>车轮有效滚动半径</w:t>
            </w:r>
          </w:p>
        </w:tc>
      </w:tr>
    </w:tbl>
    <w:p w14:paraId="47302B5E">
      <w:pPr>
        <w:pStyle w:val="7"/>
        <w:numPr>
          <w:ilvl w:val="0"/>
          <w:numId w:val="0"/>
        </w:numPr>
        <w:snapToGrid w:val="0"/>
        <w:rPr>
          <w:sz w:val="20"/>
        </w:rPr>
      </w:pPr>
      <w:r>
        <w:rPr>
          <w:rFonts w:hint="eastAsia"/>
          <w:sz w:val="20"/>
          <w:szCs w:val="20"/>
        </w:rPr>
        <w:t>忽略连杆弹性，单腿正运动学为</w:t>
      </w:r>
    </w:p>
    <w:tbl>
      <w:tblPr>
        <w:tblStyle w:val="10"/>
        <w:tblW w:w="4866" w:type="dxa"/>
        <w:tblCaption w:val="Equation 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E2EF36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776CAE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qArr>
              </m:oMath>
            </m:oMathPara>
          </w:p>
        </w:tc>
        <w:tc>
          <w:tcPr>
            <w:tcW w:w="390" w:type="dxa"/>
            <w:vAlign w:val="center"/>
          </w:tcPr>
          <w:p w14:paraId="2292553B">
            <w:pPr>
              <w:numPr>
                <w:ilvl w:val="0"/>
                <w:numId w:val="0"/>
              </w:numPr>
              <w:snapToGrid w:val="0"/>
              <w:jc w:val="right"/>
              <w:rPr>
                <w:sz w:val="16"/>
              </w:rPr>
            </w:pPr>
            <w:r>
              <w:rPr>
                <w:sz w:val="16"/>
                <w:szCs w:val="16"/>
              </w:rPr>
              <w:t>(1)</w:t>
            </w:r>
          </w:p>
        </w:tc>
      </w:tr>
    </w:tbl>
    <w:p w14:paraId="099A10C4">
      <w:pPr>
        <w:pStyle w:val="7"/>
        <w:numPr>
          <w:ilvl w:val="0"/>
          <w:numId w:val="0"/>
        </w:numPr>
        <w:snapToGrid w:val="0"/>
        <w:rPr>
          <w:sz w:val="20"/>
        </w:rPr>
      </w:pPr>
      <w:r>
        <w:rPr>
          <w:rFonts w:hint="eastAsia"/>
          <w:sz w:val="20"/>
          <w:szCs w:val="20"/>
        </w:rPr>
        <w:t>保留原稿的几何逆解分支，定义</w:t>
      </w:r>
    </w:p>
    <w:tbl>
      <w:tblPr>
        <w:tblStyle w:val="10"/>
        <w:tblW w:w="4866" w:type="dxa"/>
        <w:tblCaption w:val="Equation 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F998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A9DE8CB">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ad>
                      <m:radPr>
                        <m:degHide m:val="1"/>
                      </m:radPr>
                      <m:deg/>
                      <m:e>
                        <m:sSubSup>
                          <m:sSubSup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α</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β</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178AB10A">
            <w:pPr>
              <w:numPr>
                <w:ilvl w:val="0"/>
                <w:numId w:val="0"/>
              </w:numPr>
              <w:snapToGrid w:val="0"/>
              <w:jc w:val="right"/>
              <w:rPr>
                <w:sz w:val="16"/>
              </w:rPr>
            </w:pPr>
            <w:r>
              <w:rPr>
                <w:sz w:val="16"/>
                <w:szCs w:val="16"/>
              </w:rPr>
              <w:t>(2)</w:t>
            </w:r>
          </w:p>
        </w:tc>
      </w:tr>
    </w:tbl>
    <w:p w14:paraId="08960C30">
      <w:pPr>
        <w:pStyle w:val="7"/>
        <w:numPr>
          <w:ilvl w:val="0"/>
          <w:numId w:val="0"/>
        </w:numPr>
        <w:snapToGrid w:val="0"/>
        <w:rPr>
          <w:sz w:val="20"/>
        </w:rPr>
      </w:pPr>
      <w:r>
        <w:rPr>
          <w:rFonts w:hint="eastAsia"/>
          <w:sz w:val="20"/>
          <w:szCs w:val="20"/>
        </w:rPr>
        <w:t>在原稿所用轮心位于髋部下方的分支内，</w:t>
      </w:r>
      <m:oMath>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与</w:t>
      </w:r>
      <w:r>
        <w:rPr>
          <w:sz w:val="20"/>
          <w:szCs w:val="20"/>
        </w:rPr>
        <w:t xml:space="preserve"> </w:t>
      </w:r>
      <m:oMath>
        <m:r>
          <m:rPr>
            <m:sty m:val="p"/>
          </m:rPr>
          <w:rPr>
            <w:rFonts w:ascii="Cambria Math" w:hAnsi="Cambria Math" w:eastAsia="Cambria Math" w:cs="Cambria Math"/>
            <w:sz w:val="20"/>
            <w:szCs w:val="20"/>
          </w:rPr>
          <m:t>arccos(</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等价；使用双参数反正切可明确象限。令</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α</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rFonts w:hint="eastAsia"/>
          <w:sz w:val="20"/>
          <w:szCs w:val="20"/>
        </w:rPr>
        <w:t>，有</w:t>
      </w:r>
    </w:p>
    <w:tbl>
      <w:tblPr>
        <w:tblStyle w:val="10"/>
        <w:tblW w:w="4866" w:type="dxa"/>
        <w:tblCaption w:val="Equation 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A0B1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432141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f>
                      <m:fPr/>
                      <m:num>
                        <m:r>
                          <m:rPr/>
                          <w:rPr>
                            <w:rFonts w:ascii="Cambria Math" w:hAnsi="Cambria Math" w:eastAsia="Cambria Math" w:cs="Cambria Math"/>
                            <w:sz w:val="18"/>
                            <w:szCs w:val="18"/>
                          </w:rPr>
                          <m:t>π</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=atan2</m:t>
                    </m:r>
                    <m:d>
                      <m:dPr>
                        <m:sepChr m:val=""/>
                      </m:dPr>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e>
                    </m:d>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5E9B51BE">
            <w:pPr>
              <w:numPr>
                <w:ilvl w:val="0"/>
                <w:numId w:val="0"/>
              </w:numPr>
              <w:snapToGrid w:val="0"/>
              <w:jc w:val="right"/>
              <w:rPr>
                <w:sz w:val="16"/>
              </w:rPr>
            </w:pPr>
            <w:r>
              <w:rPr>
                <w:sz w:val="16"/>
                <w:szCs w:val="16"/>
              </w:rPr>
              <w:t>(3)</w:t>
            </w:r>
          </w:p>
        </w:tc>
      </w:tr>
    </w:tbl>
    <w:p w14:paraId="572E77C1">
      <w:pPr>
        <w:pStyle w:val="7"/>
        <w:numPr>
          <w:ilvl w:val="0"/>
          <w:numId w:val="0"/>
        </w:numPr>
        <w:snapToGrid w:val="0"/>
        <w:rPr>
          <w:sz w:val="20"/>
        </w:rPr>
      </w:pPr>
      <w:r>
        <w:rPr>
          <w:rFonts w:hint="eastAsia"/>
          <w:sz w:val="20"/>
          <w:szCs w:val="20"/>
        </w:rPr>
        <w:t>逆解要求</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sz w:val="20"/>
          <w:szCs w:val="20"/>
        </w:rPr>
        <w:t xml:space="preserve"> </w:t>
      </w:r>
      <w:r>
        <w:rPr>
          <w:rFonts w:hint="eastAsia"/>
          <w:sz w:val="20"/>
          <w:szCs w:val="20"/>
        </w:rPr>
        <w:t>且</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w:rPr>
          <w:rFonts w:hint="eastAsia"/>
          <w:sz w:val="20"/>
          <w:szCs w:val="20"/>
        </w:rPr>
        <w:t>。计算时只对浮点舍入导致的微小越界进行反余弦输入截断，真实不可达目标应拒绝或限制。机械膝内角与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的零位不同，[5]</w:t>
      </w:r>
      <w:r>
        <w:rPr>
          <w:sz w:val="20"/>
          <w:szCs w:val="20"/>
        </w:rPr>
        <w:t xml:space="preserve"> </w:t>
      </w:r>
      <w:r>
        <w:rPr>
          <w:rFonts w:hint="eastAsia"/>
          <w:sz w:val="20"/>
          <w:szCs w:val="20"/>
        </w:rPr>
        <w:t>给出的膝内角范围不能直接作为上述关节角限位。</w:t>
      </w:r>
    </w:p>
    <w:p w14:paraId="5EADEF97">
      <w:pPr>
        <w:pStyle w:val="7"/>
        <w:numPr>
          <w:ilvl w:val="0"/>
          <w:numId w:val="0"/>
        </w:numPr>
        <w:snapToGrid w:val="0"/>
        <w:rPr>
          <w:sz w:val="20"/>
        </w:rPr>
      </w:pPr>
      <w:r>
        <w:rPr>
          <w:rFonts w:hint="eastAsia"/>
          <w:sz w:val="20"/>
          <w:szCs w:val="20"/>
        </w:rPr>
        <w:t>以</w:t>
      </w:r>
      <w:r>
        <w:rPr>
          <w:sz w:val="20"/>
          <w:szCs w:val="20"/>
        </w:rPr>
        <w:t xml:space="preserve"> </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简记，轮心雅可比为</w:t>
      </w:r>
    </w:p>
    <w:tbl>
      <w:tblPr>
        <w:tblStyle w:val="10"/>
        <w:tblW w:w="4866" w:type="dxa"/>
        <w:tblCaption w:val="Equation 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F425DA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490794E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sub>
                      <m:sup>
                        <m:r>
                          <m:rPr>
                            <m:sty m:val="p"/>
                          </m:rPr>
                          <w:rPr>
                            <w:rFonts w:ascii="Cambria Math" w:hAnsi="Cambria Math" w:eastAsia="Cambria Math" w:cs="Cambria Math"/>
                            <w:sz w:val="18"/>
                            <w:szCs w:val="18"/>
                          </w:rPr>
                          <m:t>leg</m:t>
                        </m:r>
                      </m:sup>
                    </m:sSubSup>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m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mr>
                      <m:mr>
                        <m:e>
                          <m:r>
                            <m:rPr/>
                            <w:rPr>
                              <w:rFonts w:ascii="Cambria Math" w:hAnsi="Cambria Math" w:eastAsia="Cambria Math" w:cs="Cambria Math"/>
                              <w:sz w:val="18"/>
                              <w:szCs w:val="18"/>
                            </w:rPr>
                            <m:t>0</m:t>
                          </m:r>
                        </m:e>
                        <m:e>
                          <m:r>
                            <m:rPr/>
                            <w:rPr>
                              <w:rFonts w:ascii="Cambria Math" w:hAnsi="Cambria Math" w:eastAsia="Cambria Math" w:cs="Cambria Math"/>
                              <w:sz w:val="18"/>
                              <w:szCs w:val="18"/>
                            </w:rPr>
                            <m:t>0</m:t>
                          </m:r>
                        </m:e>
                      </m:mr>
                    </m:m>
                  </m:e>
                </m:d>
                <m:r>
                  <m:rPr>
                    <m:sty m:val="p"/>
                  </m:rPr>
                  <w:rPr>
                    <w:rFonts w:ascii="Cambria Math" w:hAnsi="Cambria Math" w:eastAsia="Cambria Math" w:cs="Cambria Math"/>
                    <w:sz w:val="18"/>
                    <w:szCs w:val="18"/>
                  </w:rPr>
                  <m:t>.</m:t>
                </m:r>
              </m:oMath>
            </m:oMathPara>
          </w:p>
        </w:tc>
        <w:tc>
          <w:tcPr>
            <w:tcW w:w="390" w:type="dxa"/>
            <w:vAlign w:val="center"/>
          </w:tcPr>
          <w:p w14:paraId="0325C16F">
            <w:pPr>
              <w:numPr>
                <w:ilvl w:val="0"/>
                <w:numId w:val="0"/>
              </w:numPr>
              <w:snapToGrid w:val="0"/>
              <w:jc w:val="right"/>
              <w:rPr>
                <w:sz w:val="16"/>
              </w:rPr>
            </w:pPr>
            <w:r>
              <w:rPr>
                <w:sz w:val="16"/>
                <w:szCs w:val="16"/>
              </w:rPr>
              <w:t>(4)</w:t>
            </w:r>
          </w:p>
        </w:tc>
      </w:tr>
      <w:bookmarkEnd w:id="9"/>
    </w:tbl>
    <w:p w14:paraId="0DA70F03">
      <w:pPr>
        <w:pStyle w:val="4"/>
        <w:numPr>
          <w:ilvl w:val="2"/>
          <w:numId w:val="0"/>
        </w:numPr>
        <w:snapToGrid w:val="0"/>
      </w:pPr>
      <w:bookmarkStart w:id="10" w:name="麦克纳姆轮运动学"/>
      <w:r>
        <w:t xml:space="preserve">2) </w:t>
      </w:r>
      <w:r>
        <w:rPr>
          <w:rFonts w:hint="eastAsia"/>
        </w:rPr>
        <w:t>麦克纳姆轮运动学</w:t>
      </w:r>
    </w:p>
    <w:p w14:paraId="1A691815">
      <w:pPr>
        <w:pStyle w:val="7"/>
        <w:numPr>
          <w:ilvl w:val="0"/>
          <w:numId w:val="0"/>
        </w:numPr>
        <w:snapToGrid w:val="0"/>
        <w:rPr>
          <w:sz w:val="20"/>
        </w:rPr>
      </w:pPr>
      <w:r>
        <w:rPr>
          <w:rFonts w:hint="eastAsia"/>
          <w:sz w:val="20"/>
          <w:szCs w:val="20"/>
        </w:rPr>
        <w:t>麦克纳姆轮由主动轮毂和沿轮缘分布的被动辊子组成，辊子手性决定侧向速度与轮毂转速之间的符号关系。Fig.</w:t>
      </w:r>
      <w:r>
        <w:rPr>
          <w:sz w:val="20"/>
          <w:szCs w:val="20"/>
        </w:rPr>
        <w:t xml:space="preserve"> 3 </w:t>
      </w:r>
      <w:r>
        <w:rPr>
          <w:rFonts w:hint="eastAsia"/>
          <w:sz w:val="20"/>
          <w:szCs w:val="20"/>
        </w:rPr>
        <w:t>给出仓库已有的两种轮体结构。与普通车轮相比，被动辊子允许接触点沿特定方向运动，四轮适当配置后可产生前进、侧移和偏航运动。</w:t>
      </w:r>
    </w:p>
    <w:p w14:paraId="0565082C">
      <w:pPr>
        <w:keepNext/>
        <w:numPr>
          <w:ilvl w:val="0"/>
          <w:numId w:val="0"/>
        </w:numPr>
        <w:snapToGrid w:val="0"/>
      </w:pPr>
      <w:r>
        <w:drawing>
          <wp:inline distT="0" distB="0" distL="114300" distR="114300">
            <wp:extent cx="3081020" cy="1002665"/>
            <wp:effectExtent l="0" t="0" r="5080" b="6985"/>
            <wp:docPr id="20" name="Picture" descr="Fig. 3(a). A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Fig. 3(a). A 型麦克纳姆轮结构。"/>
                    <pic:cNvPicPr>
                      <a:picLocks noChangeAspect="1" noChangeArrowheads="1"/>
                    </pic:cNvPicPr>
                  </pic:nvPicPr>
                  <pic:blipFill>
                    <a:blip r:embed="rId5"/>
                    <a:srcRect l="4706" t="17564" r="8015" b="15381"/>
                    <a:stretch>
                      <a:fillRect/>
                    </a:stretch>
                  </pic:blipFill>
                  <pic:spPr>
                    <a:xfrm>
                      <a:off x="0" y="0"/>
                      <a:ext cx="3081020" cy="1002665"/>
                    </a:xfrm>
                    <a:prstGeom prst="rect">
                      <a:avLst/>
                    </a:prstGeom>
                    <a:noFill/>
                    <a:ln w="9525">
                      <a:noFill/>
                    </a:ln>
                  </pic:spPr>
                </pic:pic>
              </a:graphicData>
            </a:graphic>
          </wp:inline>
        </w:drawing>
      </w:r>
    </w:p>
    <w:p w14:paraId="3C3A4174">
      <w:pPr>
        <w:pStyle w:val="18"/>
        <w:numPr>
          <w:ilvl w:val="0"/>
          <w:numId w:val="0"/>
        </w:numPr>
        <w:snapToGrid w:val="0"/>
      </w:pPr>
      <w:r>
        <w:t xml:space="preserve">Fig. 3(a). A </w:t>
      </w:r>
      <w:r>
        <w:rPr>
          <w:rFonts w:hint="eastAsia"/>
        </w:rPr>
        <w:t>型麦克纳姆轮结构。</w:t>
      </w:r>
    </w:p>
    <w:p w14:paraId="37442ACE">
      <w:pPr>
        <w:keepNext/>
        <w:numPr>
          <w:ilvl w:val="0"/>
          <w:numId w:val="0"/>
        </w:numPr>
        <w:snapToGrid w:val="0"/>
      </w:pPr>
      <w:r>
        <w:drawing>
          <wp:inline distT="0" distB="0" distL="114300" distR="114300">
            <wp:extent cx="3089910" cy="989965"/>
            <wp:effectExtent l="0" t="0" r="0" b="0"/>
            <wp:docPr id="23" name="Picture" descr="Fig. 3(b). B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Fig. 3(b). B 型麦克纳姆轮结构。"/>
                    <pic:cNvPicPr>
                      <a:picLocks noChangeAspect="1" noChangeArrowheads="1"/>
                    </pic:cNvPicPr>
                  </pic:nvPicPr>
                  <pic:blipFill>
                    <a:blip r:embed="rId6"/>
                    <a:stretch>
                      <a:fillRect/>
                    </a:stretch>
                  </pic:blipFill>
                  <pic:spPr>
                    <a:xfrm>
                      <a:off x="0" y="0"/>
                      <a:ext cx="3089910" cy="990494"/>
                    </a:xfrm>
                    <a:prstGeom prst="rect">
                      <a:avLst/>
                    </a:prstGeom>
                    <a:noFill/>
                    <a:ln w="9525">
                      <a:noFill/>
                    </a:ln>
                  </pic:spPr>
                </pic:pic>
              </a:graphicData>
            </a:graphic>
          </wp:inline>
        </w:drawing>
      </w:r>
    </w:p>
    <w:p w14:paraId="3CC11875">
      <w:pPr>
        <w:pStyle w:val="18"/>
        <w:numPr>
          <w:ilvl w:val="0"/>
          <w:numId w:val="0"/>
        </w:numPr>
        <w:snapToGrid w:val="0"/>
      </w:pPr>
      <w:r>
        <w:t xml:space="preserve">Fig. 3(b). B </w:t>
      </w:r>
      <w:r>
        <w:rPr>
          <w:rFonts w:hint="eastAsia"/>
        </w:rPr>
        <w:t>型麦克纳姆轮结构。</w:t>
      </w:r>
    </w:p>
    <w:p w14:paraId="21D146DD">
      <w:pPr>
        <w:pStyle w:val="7"/>
        <w:numPr>
          <w:ilvl w:val="0"/>
          <w:numId w:val="0"/>
        </w:numPr>
        <w:snapToGrid w:val="0"/>
        <w:rPr>
          <w:sz w:val="20"/>
        </w:rPr>
      </w:pPr>
      <w:r>
        <w:rPr>
          <w:rFonts w:hint="eastAsia"/>
          <w:sz w:val="20"/>
          <w:szCs w:val="20"/>
        </w:rPr>
        <w:t>从俯视图左前轮起逆时针编号：</w:t>
      </w:r>
      <m:oMath>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依次为左前、左后、右后、右前。令</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为机体系下的轮心位置，</w:t>
      </w:r>
      <m:oMath>
        <m:sSub>
          <m:sSubPr/>
          <m:e>
            <m:r>
              <m:rPr>
                <m:sty m:val="bi"/>
              </m:rPr>
              <w:rPr>
                <w:rFonts w:ascii="Cambria Math" w:hAnsi="Cambria Math" w:eastAsia="Cambria Math" w:cs="Cambria Math"/>
                <w:sz w:val="20"/>
                <w:szCs w:val="20"/>
              </w:rPr>
              <m:t>v</m:t>
            </m:r>
          </m:e>
          <m:sub>
            <m:r>
              <m:rPr>
                <m:sty m:val="p"/>
              </m:rPr>
              <w:rPr>
                <w:rFonts w:ascii="Cambria Math" w:hAnsi="Cambria Math" w:eastAsia="Cambria Math" w:cs="Cambria Math"/>
                <w:sz w:val="20"/>
                <w:szCs w:val="20"/>
              </w:rPr>
              <m:t>b</m:t>
            </m:r>
          </m:sub>
        </m:sSub>
      </m:oMath>
      <w:r>
        <w:rPr>
          <w:sz w:val="20"/>
          <w:szCs w:val="20"/>
        </w:rPr>
        <w:t xml:space="preserve"> </w:t>
      </w:r>
      <w:r>
        <w:rPr>
          <w:rFonts w:hint="eastAsia"/>
          <w:sz w:val="20"/>
          <w:szCs w:val="20"/>
        </w:rPr>
        <w:t>为基座原点速度，</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r>
              <m:rPr/>
              <w:rPr>
                <w:rFonts w:ascii="Cambria Math" w:hAnsi="Cambria Math" w:eastAsia="Cambria Math" w:cs="Cambria Math"/>
                <w:sz w:val="20"/>
                <w:szCs w:val="20"/>
              </w:rPr>
              <m:t>z</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oMath>
      <w:r>
        <w:rPr>
          <w:rFonts w:hint="eastAsia"/>
          <w:sz w:val="20"/>
          <w:szCs w:val="20"/>
        </w:rPr>
        <w:t>。在基座水平、各腿相对基座静止的假设下，所有分量均在机体系表示，有</w:t>
      </w:r>
    </w:p>
    <w:tbl>
      <w:tblPr>
        <w:tblStyle w:val="10"/>
        <w:tblW w:w="4866" w:type="dxa"/>
        <w:tblCaption w:val="Equation 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2122B5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E6273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oMath>
            </m:oMathPara>
          </w:p>
        </w:tc>
        <w:tc>
          <w:tcPr>
            <w:tcW w:w="390" w:type="dxa"/>
            <w:vAlign w:val="center"/>
          </w:tcPr>
          <w:p w14:paraId="0BE23C36">
            <w:pPr>
              <w:numPr>
                <w:ilvl w:val="0"/>
                <w:numId w:val="0"/>
              </w:numPr>
              <w:snapToGrid w:val="0"/>
              <w:jc w:val="right"/>
              <w:rPr>
                <w:sz w:val="16"/>
              </w:rPr>
            </w:pPr>
            <w:r>
              <w:rPr>
                <w:sz w:val="16"/>
                <w:szCs w:val="16"/>
              </w:rPr>
              <w:t>(5)</w:t>
            </w:r>
          </w:p>
        </w:tc>
      </w:tr>
    </w:tbl>
    <w:p w14:paraId="132076A3">
      <w:pPr>
        <w:pStyle w:val="7"/>
        <w:numPr>
          <w:ilvl w:val="0"/>
          <w:numId w:val="0"/>
        </w:numPr>
        <w:snapToGrid w:val="0"/>
        <w:rPr>
          <w:sz w:val="20"/>
        </w:rPr>
      </w:pPr>
      <w:r>
        <w:rPr>
          <w:rFonts w:hint="eastAsia"/>
          <w:sz w:val="20"/>
          <w:szCs w:val="20"/>
        </w:rPr>
        <w:t>若同时调整腿部，右侧需加上轮心相对基座速度</w:t>
      </w:r>
      <w:r>
        <w:rPr>
          <w:sz w:val="20"/>
          <w:szCs w:val="20"/>
        </w:rPr>
        <w:t xml:space="preserve"> </w:t>
      </w:r>
      <m:oMath>
        <m:sSub>
          <m:sSubPr/>
          <m:e>
            <m:acc>
              <m:accPr>
                <m:chr m:val="̇"/>
              </m:accPr>
              <m:e>
                <m:r>
                  <m:rPr>
                    <m:sty m:val="bi"/>
                  </m:rPr>
                  <w:rPr>
                    <w:rFonts w:ascii="Cambria Math" w:hAnsi="Cambria Math" w:eastAsia="Cambria Math" w:cs="Cambria Math"/>
                    <w:sz w:val="20"/>
                    <w:szCs w:val="20"/>
                  </w:rPr>
                  <m:t>p</m:t>
                </m:r>
              </m:e>
            </m:acc>
          </m:e>
          <m:sub>
            <m:r>
              <m:rPr/>
              <w:rPr>
                <w:rFonts w:ascii="Cambria Math" w:hAnsi="Cambria Math" w:eastAsia="Cambria Math" w:cs="Cambria Math"/>
                <w:sz w:val="20"/>
                <w:szCs w:val="20"/>
              </w:rPr>
              <m:t>i</m:t>
            </m:r>
          </m:sub>
        </m:sSub>
      </m:oMath>
      <w:r>
        <w:rPr>
          <w:rFonts w:hint="eastAsia"/>
          <w:sz w:val="20"/>
          <w:szCs w:val="20"/>
        </w:rPr>
        <w:t>。定义轮轴单位矢量</w:t>
      </w:r>
      <w:r>
        <w:rPr>
          <w:sz w:val="20"/>
          <w:szCs w:val="20"/>
        </w:rPr>
        <w:t xml:space="preserve"> </w:t>
      </w:r>
      <m:oMath>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、滚动单位矢量</w:t>
      </w:r>
      <w:r>
        <w:rPr>
          <w:sz w:val="20"/>
          <w:szCs w:val="20"/>
        </w:rPr>
        <w:t xml:space="preserve"> </w:t>
      </w:r>
      <m:oMath>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，并规定正轮速使轮毂在接触点产生</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w</m:t>
            </m:r>
          </m:sub>
        </m:sSub>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的速度。令辊子自由滚动方向和轴线方向分别为</w:t>
      </w:r>
    </w:p>
    <w:tbl>
      <w:tblPr>
        <w:tblStyle w:val="10"/>
        <w:tblW w:w="4866" w:type="dxa"/>
        <w:tblCaption w:val="Equation 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264D16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291E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t</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qArr>
              </m:oMath>
            </m:oMathPara>
          </w:p>
        </w:tc>
        <w:tc>
          <w:tcPr>
            <w:tcW w:w="390" w:type="dxa"/>
            <w:vAlign w:val="center"/>
          </w:tcPr>
          <w:p w14:paraId="5F91DCD9">
            <w:pPr>
              <w:numPr>
                <w:ilvl w:val="0"/>
                <w:numId w:val="0"/>
              </w:numPr>
              <w:snapToGrid w:val="0"/>
              <w:jc w:val="right"/>
              <w:rPr>
                <w:sz w:val="16"/>
              </w:rPr>
            </w:pPr>
            <w:r>
              <w:rPr>
                <w:sz w:val="16"/>
                <w:szCs w:val="16"/>
              </w:rPr>
              <w:t>(6)</w:t>
            </w:r>
          </w:p>
        </w:tc>
      </w:tr>
    </w:tbl>
    <w:p w14:paraId="5A13411A">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为从轮轴方向到辊子自由滚动方向的有向角。理想接触下，沿辊子轴线的相对滑动为零，即</w:t>
      </w:r>
    </w:p>
    <w:tbl>
      <w:tblPr>
        <w:tblStyle w:val="10"/>
        <w:tblW w:w="4866" w:type="dxa"/>
        <w:tblCaption w:val="Equation 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EA6B6E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64029B5A">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d>
                  <m:dPr>
                    <m:sepChr m:val=""/>
                  </m:dPr>
                  <m:e>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e>
                </m:d>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oMath>
            </m:oMathPara>
          </w:p>
        </w:tc>
        <w:tc>
          <w:tcPr>
            <w:tcW w:w="390" w:type="dxa"/>
            <w:vAlign w:val="center"/>
          </w:tcPr>
          <w:p w14:paraId="32146FAC">
            <w:pPr>
              <w:numPr>
                <w:ilvl w:val="0"/>
                <w:numId w:val="0"/>
              </w:numPr>
              <w:snapToGrid w:val="0"/>
              <w:jc w:val="right"/>
              <w:rPr>
                <w:sz w:val="16"/>
              </w:rPr>
            </w:pPr>
            <w:r>
              <w:rPr>
                <w:sz w:val="16"/>
                <w:szCs w:val="16"/>
              </w:rPr>
              <w:t>(7)</w:t>
            </w:r>
          </w:p>
        </w:tc>
      </w:tr>
    </w:tbl>
    <w:p w14:paraId="48BD912F">
      <w:pPr>
        <w:pStyle w:val="7"/>
        <w:numPr>
          <w:ilvl w:val="0"/>
          <w:numId w:val="0"/>
        </w:numPr>
        <w:snapToGrid w:val="0"/>
        <w:rPr>
          <w:sz w:val="20"/>
        </w:rPr>
      </w:pPr>
      <w:r>
        <w:rPr>
          <w:rFonts w:hint="eastAsia"/>
          <w:sz w:val="20"/>
          <w:szCs w:val="20"/>
        </w:rPr>
        <w:t>消去被动辊子速度后得到</w:t>
      </w:r>
    </w:p>
    <w:tbl>
      <w:tblPr>
        <w:tblStyle w:val="10"/>
        <w:tblW w:w="4866" w:type="dxa"/>
        <w:tblCaption w:val="Equation 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BD55B8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A36138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f>
                  <m:fPr/>
                  <m:num>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)tan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den>
                </m:f>
                <m:r>
                  <m:rPr>
                    <m:sty m:val="p"/>
                  </m:rPr>
                  <w:rPr>
                    <w:rFonts w:ascii="Cambria Math" w:hAnsi="Cambria Math" w:eastAsia="Cambria Math" w:cs="Cambria Math"/>
                    <w:sz w:val="18"/>
                    <w:szCs w:val="18"/>
                  </w:rPr>
                  <m:t>.</m:t>
                </m:r>
              </m:oMath>
            </m:oMathPara>
          </w:p>
        </w:tc>
        <w:tc>
          <w:tcPr>
            <w:tcW w:w="390" w:type="dxa"/>
            <w:vAlign w:val="center"/>
          </w:tcPr>
          <w:p w14:paraId="04740B4D">
            <w:pPr>
              <w:numPr>
                <w:ilvl w:val="0"/>
                <w:numId w:val="0"/>
              </w:numPr>
              <w:snapToGrid w:val="0"/>
              <w:jc w:val="right"/>
              <w:rPr>
                <w:sz w:val="16"/>
              </w:rPr>
            </w:pPr>
            <w:r>
              <w:rPr>
                <w:sz w:val="16"/>
                <w:szCs w:val="16"/>
              </w:rPr>
              <w:t>(8)</w:t>
            </w:r>
          </w:p>
        </w:tc>
      </w:tr>
    </w:tbl>
    <w:p w14:paraId="0632DD09">
      <w:pPr>
        <w:pStyle w:val="7"/>
        <w:numPr>
          <w:ilvl w:val="0"/>
          <w:numId w:val="0"/>
        </w:numPr>
        <w:snapToGrid w:val="0"/>
        <w:rPr>
          <w:sz w:val="20"/>
        </w:rPr>
      </w:pPr>
      <w:r>
        <w:rPr>
          <w:rFonts w:hint="eastAsia"/>
          <w:sz w:val="20"/>
          <w:szCs w:val="20"/>
        </w:rPr>
        <w:t>原稿中的</w:t>
      </w:r>
      <w:r>
        <w:rPr>
          <w:sz w:val="20"/>
          <w:szCs w:val="20"/>
        </w:rPr>
        <w:t xml:space="preserve"> </w:t>
      </w:r>
      <m:oMath>
        <m:r>
          <m:rPr>
            <m:sty m:val="p"/>
          </m:rPr>
          <w:rPr>
            <w:rFonts w:ascii="Cambria Math" w:hAnsi="Cambria Math" w:eastAsia="Cambria Math" w:cs="Cambria Math"/>
            <w:sz w:val="20"/>
            <w:szCs w:val="20"/>
          </w:rPr>
          <m:t>cot</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在</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时与此式相同；这里依据角度定义统一为</w:t>
      </w:r>
      <w:r>
        <w:rPr>
          <w:sz w:val="20"/>
          <w:szCs w:val="20"/>
        </w:rPr>
        <w:t xml:space="preserve"> </w:t>
      </w:r>
      <m:oMath>
        <m:r>
          <m:rPr>
            <m:sty m:val="p"/>
          </m:rPr>
          <w:rPr>
            <w:rFonts w:ascii="Cambria Math" w:hAnsi="Cambria Math" w:eastAsia="Cambria Math" w:cs="Cambria Math"/>
            <w:sz w:val="20"/>
            <w:szCs w:val="20"/>
          </w:rPr>
          <m:t>tan</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rFonts w:hint="eastAsia"/>
          <w:sz w:val="20"/>
          <w:szCs w:val="20"/>
        </w:rPr>
        <w:t>。该式保留了普通车轮的滚动项与辊子带来的侧向项。轮毂相对小腿的编码器速度与绝对自转速度还相差小腿绕轮轴的转速；腿部运动时应进行相应补偿。</w:t>
      </w:r>
    </w:p>
    <w:bookmarkEnd w:id="10"/>
    <w:p w14:paraId="5844043D">
      <w:pPr>
        <w:pStyle w:val="4"/>
        <w:numPr>
          <w:ilvl w:val="2"/>
          <w:numId w:val="0"/>
        </w:numPr>
        <w:snapToGrid w:val="0"/>
      </w:pPr>
      <w:bookmarkStart w:id="11" w:name="轮体动力学与足端力映射"/>
      <w:r>
        <w:t xml:space="preserve">3) </w:t>
      </w:r>
      <w:r>
        <w:rPr>
          <w:rFonts w:hint="eastAsia"/>
        </w:rPr>
        <w:t>轮体动力学与足端力映射</w:t>
      </w:r>
    </w:p>
    <w:p w14:paraId="25E699F4">
      <w:pPr>
        <w:pStyle w:val="7"/>
        <w:numPr>
          <w:ilvl w:val="0"/>
          <w:numId w:val="0"/>
        </w:numPr>
        <w:snapToGrid w:val="0"/>
        <w:rPr>
          <w:sz w:val="20"/>
        </w:rPr>
      </w:pPr>
      <w:r>
        <w:rPr>
          <w:rFonts w:hint="eastAsia"/>
          <w:sz w:val="20"/>
          <w:szCs w:val="20"/>
        </w:rPr>
        <w:t>直接对所有连杆求解完整动力学会增加参数标定与实时计算负担。本文保留原稿的分层思路，先对具有独立质量的轮体建模，再通过虚功原理将轮端载荷映射到腿部驱动。Fig.</w:t>
      </w:r>
      <w:r>
        <w:rPr>
          <w:sz w:val="20"/>
          <w:szCs w:val="20"/>
        </w:rPr>
        <w:t xml:space="preserve"> 4 </w:t>
      </w:r>
      <w:r>
        <w:rPr>
          <w:rFonts w:hint="eastAsia"/>
          <w:sz w:val="20"/>
          <w:szCs w:val="20"/>
        </w:rPr>
        <w:t>给出车轮受力示意图。</w:t>
      </w:r>
    </w:p>
    <w:p w14:paraId="009A5309">
      <w:pPr>
        <w:keepNext/>
        <w:keepLines/>
        <w:numPr>
          <w:ilvl w:val="0"/>
          <w:numId w:val="0"/>
        </w:numPr>
        <w:snapToGrid w:val="0"/>
        <w:spacing w:before="60" w:after="60" w:line="240" w:lineRule="auto"/>
        <w:ind w:left="0" w:right="0" w:firstLine="0"/>
        <w:jc w:val="center"/>
      </w:pPr>
      <w:r>
        <w:drawing>
          <wp:inline distT="0" distB="0" distL="0" distR="0">
            <wp:extent cx="2879725" cy="2300605"/>
            <wp:effectExtent l="0" t="0" r="6350" b="4445"/>
            <wp:docPr id="25" name="Fig. 4" descr="车轮受力示意图：接触力、轴端作用力、重力、驱动力矩与力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 4" descr="车轮受力示意图：接触力、轴端作用力、重力、驱动力矩与力臂"/>
                    <pic:cNvPicPr>
                      <a:picLocks noChangeAspect="1"/>
                    </pic:cNvPicPr>
                  </pic:nvPicPr>
                  <pic:blipFill>
                    <a:blip r:embed="rId7"/>
                    <a:stretch>
                      <a:fillRect/>
                    </a:stretch>
                  </pic:blipFill>
                  <pic:spPr>
                    <a:xfrm>
                      <a:off x="0" y="0"/>
                      <a:ext cx="2880000" cy="2301126"/>
                    </a:xfrm>
                    <a:prstGeom prst="rect">
                      <a:avLst/>
                    </a:prstGeom>
                  </pic:spPr>
                </pic:pic>
              </a:graphicData>
            </a:graphic>
          </wp:inline>
        </w:drawing>
      </w:r>
    </w:p>
    <w:p w14:paraId="4D4F694F">
      <w:pPr>
        <w:pStyle w:val="18"/>
        <w:numPr>
          <w:ilvl w:val="0"/>
          <w:numId w:val="0"/>
        </w:numPr>
        <w:snapToGrid w:val="0"/>
      </w:pPr>
      <w:r>
        <w:rPr>
          <w:iCs/>
        </w:rPr>
        <w:t xml:space="preserve">Fig. 4. </w:t>
      </w:r>
      <w:r>
        <w:rPr>
          <w:rFonts w:hint="eastAsia"/>
          <w:iCs/>
        </w:rPr>
        <w:t>车轮受力示意图：地面接触力、轴端作用力、重力、驱动力矩及轮心至接触点的力臂。</w:t>
      </w:r>
    </w:p>
    <w:p w14:paraId="1BD32F3F">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sz w:val="20"/>
          <w:szCs w:val="20"/>
        </w:rPr>
        <w:t xml:space="preserve"> </w:t>
      </w:r>
      <w:r>
        <w:rPr>
          <w:rFonts w:hint="eastAsia"/>
          <w:sz w:val="20"/>
          <w:szCs w:val="20"/>
        </w:rPr>
        <w:t>为地面对轮的作用力，</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sz w:val="20"/>
          <w:szCs w:val="20"/>
        </w:rPr>
        <w:t xml:space="preserve"> </w:t>
      </w:r>
      <w:r>
        <w:rPr>
          <w:rFonts w:hint="eastAsia"/>
          <w:sz w:val="20"/>
          <w:szCs w:val="20"/>
        </w:rPr>
        <w:t>为小腿对轮的作用力，</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为轮质心加速度，</w:t>
      </w:r>
      <m:oMath>
        <m:r>
          <m:rPr>
            <m:sty m:val="bi"/>
          </m:rPr>
          <w:rPr>
            <w:rFonts w:ascii="Cambria Math" w:hAnsi="Cambria Math" w:eastAsia="Cambria Math" w:cs="Cambria Math"/>
            <w:sz w:val="20"/>
            <w:szCs w:val="20"/>
          </w:rPr>
          <m:t>g</m:t>
        </m:r>
      </m:oMath>
      <w:r>
        <w:rPr>
          <w:sz w:val="20"/>
          <w:szCs w:val="20"/>
        </w:rPr>
        <w:t xml:space="preserve"> </w:t>
      </w:r>
      <w:r>
        <w:rPr>
          <w:rFonts w:hint="eastAsia"/>
          <w:sz w:val="20"/>
          <w:szCs w:val="20"/>
        </w:rPr>
        <w:t>为重力加速度矢量。在同一坐标系下，牛顿方程给出</w:t>
      </w:r>
    </w:p>
    <w:tbl>
      <w:tblPr>
        <w:tblStyle w:val="10"/>
        <w:tblW w:w="4866" w:type="dxa"/>
        <w:tblCaption w:val="Equation 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8F53CB0">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42B3464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c</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oMath>
            </m:oMathPara>
          </w:p>
        </w:tc>
        <w:tc>
          <w:tcPr>
            <w:tcW w:w="390" w:type="dxa"/>
            <w:vAlign w:val="center"/>
          </w:tcPr>
          <w:p w14:paraId="608E62D4">
            <w:pPr>
              <w:numPr>
                <w:ilvl w:val="0"/>
                <w:numId w:val="0"/>
              </w:numPr>
              <w:snapToGrid w:val="0"/>
              <w:jc w:val="right"/>
              <w:rPr>
                <w:sz w:val="16"/>
              </w:rPr>
            </w:pPr>
            <w:r>
              <w:rPr>
                <w:sz w:val="16"/>
                <w:szCs w:val="16"/>
              </w:rPr>
              <w:t>(9)</w:t>
            </w:r>
          </w:p>
        </w:tc>
      </w:tr>
    </w:tbl>
    <w:p w14:paraId="2500CDD7">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ce</m:t>
            </m:r>
          </m:sub>
        </m:sSub>
      </m:oMath>
      <w:r>
        <w:rPr>
          <w:sz w:val="20"/>
          <w:szCs w:val="20"/>
        </w:rPr>
        <w:t xml:space="preserve"> </w:t>
      </w:r>
      <w:r>
        <w:rPr>
          <w:rFonts w:hint="eastAsia"/>
          <w:sz w:val="20"/>
          <w:szCs w:val="20"/>
        </w:rPr>
        <w:t>为轮质心指向触点的力臂，轮轴正向单位矢量为</w:t>
      </w:r>
      <w:r>
        <w:rPr>
          <w:sz w:val="20"/>
          <w:szCs w:val="20"/>
        </w:rPr>
        <w:t xml:space="preserve">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ax</m:t>
            </m:r>
          </m:sub>
        </m:sSub>
      </m:oMath>
      <w:r>
        <w:rPr>
          <w:rFonts w:hint="eastAsia"/>
          <w:sz w:val="20"/>
          <w:szCs w:val="20"/>
        </w:rPr>
        <w:t>，则轮电机轴向驱动力矩为</w:t>
      </w:r>
    </w:p>
    <w:tbl>
      <w:tblPr>
        <w:tblStyle w:val="10"/>
        <w:tblW w:w="4866" w:type="dxa"/>
        <w:tblCaption w:val="Equation 1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4A53A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726261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ax</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acc>
                          <m:accPr>
                            <m:chr m:val="̇"/>
                          </m:accPr>
                          <m:e>
                            <m:r>
                              <m:rPr>
                                <m:sty m:val="bi"/>
                              </m:rPr>
                              <w:rPr>
                                <w:rFonts w:ascii="Cambria Math" w:hAnsi="Cambria Math" w:eastAsia="Cambria Math" w:cs="Cambria Math"/>
                                <w:sz w:val="18"/>
                                <w:szCs w:val="18"/>
                              </w:rPr>
                              <m:t>ω</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e>
                </m:eqArr>
              </m:oMath>
            </m:oMathPara>
          </w:p>
        </w:tc>
        <w:tc>
          <w:tcPr>
            <w:tcW w:w="390" w:type="dxa"/>
            <w:vAlign w:val="center"/>
          </w:tcPr>
          <w:p w14:paraId="4DA5BE6F">
            <w:pPr>
              <w:numPr>
                <w:ilvl w:val="0"/>
                <w:numId w:val="0"/>
              </w:numPr>
              <w:snapToGrid w:val="0"/>
              <w:jc w:val="right"/>
              <w:rPr>
                <w:sz w:val="16"/>
              </w:rPr>
            </w:pPr>
            <w:r>
              <w:rPr>
                <w:sz w:val="16"/>
                <w:szCs w:val="16"/>
              </w:rPr>
              <w:t>(10)</w:t>
            </w:r>
          </w:p>
        </w:tc>
      </w:tr>
    </w:tbl>
    <w:p w14:paraId="0D73C8B0">
      <w:pPr>
        <w:pStyle w:val="7"/>
        <w:numPr>
          <w:ilvl w:val="0"/>
          <w:numId w:val="0"/>
        </w:numPr>
        <w:snapToGrid w:val="0"/>
        <w:rPr>
          <w:sz w:val="20"/>
        </w:rPr>
      </w:pPr>
      <w:r>
        <w:rPr>
          <w:rFonts w:hint="eastAsia"/>
          <w:sz w:val="20"/>
          <w:szCs w:val="20"/>
        </w:rPr>
        <w:t>该表达式取轮轴方向投影；其余方向的约束力矩由轴承和机构承担。报告的简化实现忽略陀螺项。低速近似下可以采用这一处理，但不能据此将快速转动时的惯性耦合恒等置零。</w:t>
      </w:r>
    </w:p>
    <w:p w14:paraId="3607322F">
      <w:pPr>
        <w:pStyle w:val="7"/>
        <w:numPr>
          <w:ilvl w:val="0"/>
          <w:numId w:val="0"/>
        </w:numPr>
        <w:snapToGrid w:val="0"/>
        <w:rPr>
          <w:sz w:val="20"/>
        </w:rPr>
      </w:pPr>
      <w:r>
        <w:rPr>
          <w:rFonts w:hint="eastAsia"/>
          <w:sz w:val="20"/>
          <w:szCs w:val="20"/>
        </w:rPr>
        <w:t>设腿部等效关节角与驱动输出轴角满足</w:t>
      </w:r>
    </w:p>
    <w:tbl>
      <w:tblPr>
        <w:tblStyle w:val="10"/>
        <w:tblW w:w="4866" w:type="dxa"/>
        <w:tblCaption w:val="Equation 1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214B4C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D19EE59">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sSub>
                  <m:sSubPr/>
                  <m:e>
                    <m:r>
                      <m:rPr>
                        <m:sty m:val="bi"/>
                      </m:rPr>
                      <w:rPr>
                        <w:rFonts w:ascii="Cambria Math" w:hAnsi="Cambria Math" w:eastAsia="Cambria Math" w:cs="Cambria Math"/>
                        <w:sz w:val="18"/>
                        <w:szCs w:val="18"/>
                      </w:rPr>
                      <m:t>η</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r>
                            <m:rPr/>
                            <w:rPr>
                              <w:rFonts w:ascii="Cambria Math" w:hAnsi="Cambria Math" w:eastAsia="Cambria Math" w:cs="Cambria Math"/>
                              <w:sz w:val="18"/>
                              <w:szCs w:val="18"/>
                            </w:rPr>
                            <m:t>1</m:t>
                          </m:r>
                        </m:e>
                        <m:e>
                          <m:r>
                            <m:rPr/>
                            <w:rPr>
                              <w:rFonts w:ascii="Cambria Math" w:hAnsi="Cambria Math" w:eastAsia="Cambria Math" w:cs="Cambria Math"/>
                              <w:sz w:val="18"/>
                              <w:szCs w:val="18"/>
                            </w:rPr>
                            <m:t>0</m:t>
                          </m:r>
                        </m:e>
                      </m:mr>
                      <m:mr>
                        <m:e>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e>
                        <m:e>
                          <m:r>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3279D44B">
            <w:pPr>
              <w:numPr>
                <w:ilvl w:val="0"/>
                <w:numId w:val="0"/>
              </w:numPr>
              <w:snapToGrid w:val="0"/>
              <w:jc w:val="right"/>
              <w:rPr>
                <w:sz w:val="16"/>
              </w:rPr>
            </w:pPr>
            <w:r>
              <w:rPr>
                <w:sz w:val="16"/>
                <w:szCs w:val="16"/>
              </w:rPr>
              <w:t>(11)</w:t>
            </w:r>
          </w:p>
        </w:tc>
      </w:tr>
    </w:tbl>
    <w:p w14:paraId="1F77E9B1">
      <w:pPr>
        <w:pStyle w:val="7"/>
        <w:numPr>
          <w:ilvl w:val="0"/>
          <w:numId w:val="0"/>
        </w:numPr>
        <w:snapToGrid w:val="0"/>
        <w:rPr>
          <w:sz w:val="20"/>
        </w:rPr>
      </w:pPr>
      <w:r>
        <w:rPr>
          <w:rFonts w:hint="eastAsia"/>
          <w:sz w:val="20"/>
          <w:szCs w:val="20"/>
        </w:rPr>
        <w:t>该关系描述机构几何耦合，电机转子侧减速比需要另行换算。令</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功率共轭的广义力矩，</w:t>
      </w:r>
      <m:oMath>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共轭的驱动力矩。轮对小腿的力为</w:t>
      </w:r>
      <w:r>
        <w:rPr>
          <w:sz w:val="20"/>
          <w:szCs w:val="20"/>
        </w:rPr>
        <w:t xml:space="preserve"> </w:t>
      </w:r>
      <m:oMath>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rFonts w:hint="eastAsia"/>
          <w:sz w:val="20"/>
          <w:szCs w:val="20"/>
        </w:rPr>
        <w:t>，反作用轴向力矩为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w</m:t>
            </m:r>
          </m:sub>
        </m:sSub>
      </m:oMath>
      <w:r>
        <w:rPr>
          <w:rFonts w:hint="eastAsia"/>
          <w:sz w:val="20"/>
          <w:szCs w:val="20"/>
        </w:rPr>
        <w:t>；选取与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正向一致的轴向标量后，虚功平衡为</w:t>
      </w:r>
    </w:p>
    <w:tbl>
      <w:tblPr>
        <w:tblStyle w:val="10"/>
        <w:tblW w:w="4866" w:type="dxa"/>
        <w:tblCaption w:val="Equation 1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0DEA7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72ACDA91">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up>
                        <m:r>
                          <m:rPr>
                            <m:sty m:val="p"/>
                          </m:rPr>
                          <w:rPr>
                            <w:rFonts w:ascii="Cambria Math" w:hAnsi="Cambria Math" w:eastAsia="Cambria Math" w:cs="Cambria Math"/>
                            <w:sz w:val="18"/>
                            <w:szCs w:val="18"/>
                          </w:rPr>
                          <m:t>T</m:t>
                        </m:r>
                      </m:sup>
                    </m:sSubSup>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4A60E4B7">
            <w:pPr>
              <w:numPr>
                <w:ilvl w:val="0"/>
                <w:numId w:val="0"/>
              </w:numPr>
              <w:snapToGrid w:val="0"/>
              <w:jc w:val="right"/>
              <w:rPr>
                <w:sz w:val="16"/>
              </w:rPr>
            </w:pPr>
            <w:r>
              <w:rPr>
                <w:sz w:val="16"/>
                <w:szCs w:val="16"/>
              </w:rPr>
              <w:t>(12)</w:t>
            </w:r>
          </w:p>
        </w:tc>
      </w:tr>
    </w:tbl>
    <w:p w14:paraId="5DFC830E">
      <w:pPr>
        <w:pStyle w:val="7"/>
        <w:numPr>
          <w:ilvl w:val="0"/>
          <w:numId w:val="0"/>
        </w:numPr>
        <w:snapToGrid w:val="0"/>
        <w:rPr>
          <w:sz w:val="20"/>
        </w:rPr>
      </w:pPr>
      <w:r>
        <w:rPr>
          <w:rFonts w:hint="eastAsia"/>
          <w:sz w:val="20"/>
          <w:szCs w:val="20"/>
        </w:rPr>
        <w:t>因此，在忽略腿杆重力与惯性时，</w:t>
      </w:r>
    </w:p>
    <w:tbl>
      <w:tblPr>
        <w:tblStyle w:val="10"/>
        <w:tblW w:w="4866" w:type="dxa"/>
        <w:tblCaption w:val="Equation 1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71B51E9">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93CF8F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τ</m:t>
                        </m:r>
                      </m:e>
                      <m:sub>
                        <m:r>
                          <m:rPr/>
                          <w:rPr>
                            <w:rFonts w:ascii="Cambria Math" w:hAnsi="Cambria Math" w:eastAsia="Cambria Math" w:cs="Cambria Math"/>
                            <w:sz w:val="18"/>
                            <w:szCs w:val="18"/>
                          </w:rPr>
                          <m:t>η</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e>
                </m:eqArr>
              </m:oMath>
            </m:oMathPara>
          </w:p>
        </w:tc>
        <w:tc>
          <w:tcPr>
            <w:tcW w:w="390" w:type="dxa"/>
            <w:vAlign w:val="center"/>
          </w:tcPr>
          <w:p w14:paraId="58D7332D">
            <w:pPr>
              <w:numPr>
                <w:ilvl w:val="0"/>
                <w:numId w:val="0"/>
              </w:numPr>
              <w:snapToGrid w:val="0"/>
              <w:jc w:val="right"/>
              <w:rPr>
                <w:sz w:val="16"/>
              </w:rPr>
            </w:pPr>
            <w:r>
              <w:rPr>
                <w:sz w:val="16"/>
                <w:szCs w:val="16"/>
              </w:rPr>
              <w:t>(13)</w:t>
            </w:r>
          </w:p>
        </w:tc>
      </w:tr>
    </w:tbl>
    <w:p w14:paraId="0AE09764">
      <w:pPr>
        <w:pStyle w:val="7"/>
        <w:numPr>
          <w:ilvl w:val="0"/>
          <w:numId w:val="0"/>
        </w:numPr>
        <w:snapToGrid w:val="0"/>
        <w:rPr>
          <w:sz w:val="20"/>
        </w:rPr>
      </w:pPr>
      <w:r>
        <w:rPr>
          <w:rFonts w:hint="eastAsia"/>
          <w:sz w:val="20"/>
          <w:szCs w:val="20"/>
        </w:rPr>
        <w:t>第二式来自</w:t>
      </w:r>
      <w:r>
        <w:rPr>
          <w:sz w:val="20"/>
          <w:szCs w:val="20"/>
        </w:rPr>
        <w:t xml:space="preserve"> </w:t>
      </w:r>
      <m:oMath>
        <m:sSubSup>
          <m:sSubSup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hint="eastAsia"/>
          <w:sz w:val="20"/>
          <w:szCs w:val="20"/>
        </w:rPr>
        <w:t>，因而必须使用传动矩阵的转置。所有轮端力均须先变换至腿基系。</w:t>
      </w:r>
    </w:p>
    <w:bookmarkEnd w:id="11"/>
    <w:p w14:paraId="5DC355BB">
      <w:pPr>
        <w:pStyle w:val="4"/>
        <w:numPr>
          <w:ilvl w:val="2"/>
          <w:numId w:val="0"/>
        </w:numPr>
        <w:snapToGrid w:val="0"/>
      </w:pPr>
      <w:bookmarkStart w:id="12" w:name="整机单刚体动力学"/>
      <w:r>
        <w:t xml:space="preserve">4) </w:t>
      </w:r>
      <w:r>
        <w:rPr>
          <w:rFonts w:hint="eastAsia"/>
        </w:rPr>
        <w:t>整机单刚体动力学</w:t>
      </w:r>
    </w:p>
    <w:p w14:paraId="7686BD07">
      <w:pPr>
        <w:pStyle w:val="7"/>
        <w:numPr>
          <w:ilvl w:val="0"/>
          <w:numId w:val="0"/>
        </w:numPr>
        <w:snapToGrid w:val="0"/>
        <w:rPr>
          <w:sz w:val="20"/>
        </w:rPr>
      </w:pPr>
      <w:r>
        <w:rPr>
          <w:rFonts w:hint="eastAsia"/>
          <w:sz w:val="20"/>
          <w:szCs w:val="20"/>
        </w:rPr>
        <w:t>将机身、机械臂及支撑机构作为具有等效质量和惯量的系统，忽略其快速内部相对运动，采用单刚体近似。整机质量记为</w:t>
      </w:r>
      <w:r>
        <w:rPr>
          <w:sz w:val="20"/>
          <w:szCs w:val="20"/>
        </w:rPr>
        <w:t xml:space="preserve"> </w:t>
      </w:r>
      <m:oMath>
        <m:r>
          <m:rPr/>
          <w:rPr>
            <w:rFonts w:ascii="Cambria Math" w:hAnsi="Cambria Math" w:eastAsia="Cambria Math" w:cs="Cambria Math"/>
            <w:sz w:val="20"/>
            <w:szCs w:val="20"/>
          </w:rPr>
          <m:t>m</m:t>
        </m:r>
      </m:oMath>
      <w:r>
        <w:rPr>
          <w:rFonts w:hint="eastAsia"/>
          <w:sz w:val="20"/>
          <w:szCs w:val="20"/>
        </w:rPr>
        <w:t>，质心加速度为</w:t>
      </w:r>
      <w:r>
        <w:rPr>
          <w:sz w:val="20"/>
          <w:szCs w:val="20"/>
        </w:rPr>
        <w:t xml:space="preserve"> </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G</m:t>
            </m:r>
          </m:sub>
        </m:sSub>
      </m:oMath>
      <w:r>
        <w:rPr>
          <w:rFonts w:hint="eastAsia"/>
          <w:sz w:val="20"/>
          <w:szCs w:val="20"/>
        </w:rPr>
        <w:t>；</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为质心指向第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个触点的矢量。Fig.</w:t>
      </w:r>
      <w:r>
        <w:rPr>
          <w:sz w:val="20"/>
          <w:szCs w:val="20"/>
        </w:rPr>
        <w:t xml:space="preserve"> 5 </w:t>
      </w:r>
      <w:r>
        <w:rPr>
          <w:rFonts w:hint="eastAsia"/>
          <w:sz w:val="20"/>
          <w:szCs w:val="20"/>
        </w:rPr>
        <w:t>基于底盘立体构型给出接触力和质心的示意图。</w:t>
      </w:r>
    </w:p>
    <w:p w14:paraId="745AD3FA">
      <w:pPr>
        <w:keepNext/>
        <w:keepLines/>
        <w:numPr>
          <w:ilvl w:val="0"/>
          <w:numId w:val="0"/>
        </w:numPr>
        <w:snapToGrid w:val="0"/>
        <w:spacing w:before="60" w:after="60" w:line="240" w:lineRule="auto"/>
        <w:ind w:left="0" w:right="0" w:firstLine="0"/>
        <w:jc w:val="center"/>
      </w:pPr>
      <w:r>
        <w:drawing>
          <wp:inline distT="0" distB="0" distL="0" distR="0">
            <wp:extent cx="3059430" cy="2294890"/>
            <wp:effectExtent l="0" t="0" r="7620" b="635"/>
            <wp:docPr id="26" name="Fig. 5" descr="基于底盘立体构型的整机质心与四轮接触力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 5" descr="基于底盘立体构型的整机质心与四轮接触力示意图"/>
                    <pic:cNvPicPr>
                      <a:picLocks noChangeAspect="1"/>
                    </pic:cNvPicPr>
                  </pic:nvPicPr>
                  <pic:blipFill>
                    <a:blip r:embed="rId8"/>
                    <a:stretch>
                      <a:fillRect/>
                    </a:stretch>
                  </pic:blipFill>
                  <pic:spPr>
                    <a:xfrm>
                      <a:off x="0" y="0"/>
                      <a:ext cx="3060000" cy="2295000"/>
                    </a:xfrm>
                    <a:prstGeom prst="rect">
                      <a:avLst/>
                    </a:prstGeom>
                  </pic:spPr>
                </pic:pic>
              </a:graphicData>
            </a:graphic>
          </wp:inline>
        </w:drawing>
      </w:r>
    </w:p>
    <w:p w14:paraId="32A2B6DF">
      <w:pPr>
        <w:pStyle w:val="18"/>
        <w:numPr>
          <w:ilvl w:val="0"/>
          <w:numId w:val="0"/>
        </w:numPr>
        <w:snapToGrid w:val="0"/>
      </w:pPr>
      <w:r>
        <w:rPr>
          <w:iCs/>
        </w:rPr>
        <w:t xml:space="preserve">Fig. 5. </w:t>
      </w:r>
      <w:r>
        <w:rPr>
          <w:rFonts w:hint="eastAsia"/>
          <w:iCs/>
        </w:rPr>
        <w:t>基于底盘立体构型的整机质心与四轮接触力示意。各接触力以竖直箭头示意其作用位置，实际方向由接触条件决定；选取第 i 个触点标注接触力及质心至触点的力臂。质心位置仅作示意。</w:t>
      </w:r>
    </w:p>
    <w:p w14:paraId="4191046F">
      <w:pPr>
        <w:pStyle w:val="7"/>
        <w:numPr>
          <w:ilvl w:val="0"/>
          <w:numId w:val="0"/>
        </w:numPr>
        <w:snapToGrid w:val="0"/>
        <w:rPr>
          <w:sz w:val="20"/>
        </w:rPr>
      </w:pPr>
      <w:r>
        <w:rPr>
          <w:rFonts w:hint="eastAsia"/>
          <w:sz w:val="20"/>
          <w:szCs w:val="20"/>
        </w:rPr>
        <w:t>以下各量均在惯性系表示。机体系惯性张量需变换为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sSubSup>
          <m:sSubSup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up>
            <m:r>
              <m:rPr>
                <m:sty m:val="p"/>
              </m:rPr>
              <w:rPr>
                <w:rFonts w:ascii="Cambria Math" w:hAnsi="Cambria Math" w:eastAsia="Cambria Math" w:cs="Cambria Math"/>
                <w:sz w:val="20"/>
                <w:szCs w:val="20"/>
              </w:rPr>
              <m:t>T</m:t>
            </m:r>
          </m:sup>
        </m:sSubSup>
      </m:oMath>
      <w:r>
        <w:rPr>
          <w:rFonts w:hint="eastAsia"/>
          <w:sz w:val="20"/>
          <w:szCs w:val="20"/>
        </w:rPr>
        <w:t>。令</w:t>
      </w:r>
    </w:p>
    <w:tbl>
      <w:tblPr>
        <w:tblStyle w:val="10"/>
        <w:tblW w:w="4866" w:type="dxa"/>
        <w:tblCaption w:val="Equation 1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BF4406">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32C07A0">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r>
                  <m:rPr>
                    <m:sty m:val="p"/>
                  </m:rPr>
                  <w:rPr>
                    <w:rFonts w:ascii="Cambria Math" w:hAnsi="Cambria Math" w:eastAsia="Cambria Math" w:cs="Cambria Math"/>
                    <w:sz w:val="18"/>
                    <w:szCs w:val="18"/>
                  </w:rPr>
                  <m:t>=</m:t>
                </m:r>
                <m:d>
                  <m:dPr>
                    <m:begChr m:val="["/>
                    <m:sepChr m:val=""/>
                    <m:endChr m:val="]"/>
                  </m:dPr>
                  <m:e>
                    <m:m>
                      <m:mPr>
                        <m:mcs>
                          <m:mc>
                            <m:mcPr>
                              <m:count m:val="4"/>
                              <m:mcJc m:val="center"/>
                            </m:mcPr>
                          </m:mc>
                        </m:mcs>
                        <m:plcHide m:val="1"/>
                      </m:mPr>
                      <m:mr>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2</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3</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mr>
                    </m:m>
                  </m:e>
                </m:d>
                <m:r>
                  <m:rPr>
                    <m:sty m:val="p"/>
                  </m:rPr>
                  <w:rPr>
                    <w:rFonts w:ascii="Cambria Math" w:hAnsi="Cambria Math" w:eastAsia="Cambria Math" w:cs="Cambria Math"/>
                    <w:sz w:val="18"/>
                    <w:szCs w:val="18"/>
                  </w:rPr>
                  <m:t>,</m:t>
                </m:r>
              </m:oMath>
            </m:oMathPara>
          </w:p>
        </w:tc>
        <w:tc>
          <w:tcPr>
            <w:tcW w:w="390" w:type="dxa"/>
            <w:vAlign w:val="center"/>
          </w:tcPr>
          <w:p w14:paraId="6BEC1166">
            <w:pPr>
              <w:numPr>
                <w:ilvl w:val="0"/>
                <w:numId w:val="0"/>
              </w:numPr>
              <w:snapToGrid w:val="0"/>
              <w:jc w:val="right"/>
              <w:rPr>
                <w:sz w:val="16"/>
              </w:rPr>
            </w:pPr>
            <w:r>
              <w:rPr>
                <w:sz w:val="16"/>
                <w:szCs w:val="16"/>
              </w:rPr>
              <w:t>(14)</w:t>
            </w:r>
          </w:p>
        </w:tc>
      </w:tr>
      <w:tr w14:paraId="7469348A">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FB0AD9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w:rPr>
                                  <w:rFonts w:ascii="Cambria Math" w:hAnsi="Cambria Math" w:eastAsia="Cambria Math" w:cs="Cambria Math"/>
                                  <w:sz w:val="18"/>
                                  <w:szCs w:val="18"/>
                                </w:rPr>
                                <m:t>m</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G</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e>
                          </m:mr>
                          <m:mr>
                            <m:e>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acc>
                                <m:accPr>
                                  <m:chr m:val="̇"/>
                                </m:accPr>
                                <m:e>
                                  <m:r>
                                    <m:rPr>
                                      <m:sty m:val="bi"/>
                                    </m:rPr>
                                    <w:rPr>
                                      <w:rFonts w:ascii="Cambria Math" w:hAnsi="Cambria Math" w:eastAsia="Cambria Math" w:cs="Cambria Math"/>
                                      <w:sz w:val="18"/>
                                      <w:szCs w:val="18"/>
                                    </w:rPr>
                                    <m:t>ω</m:t>
                                  </m:r>
                                </m:e>
                              </m:acc>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75207D61">
            <w:pPr>
              <w:numPr>
                <w:ilvl w:val="0"/>
                <w:numId w:val="0"/>
              </w:numPr>
              <w:snapToGrid w:val="0"/>
              <w:jc w:val="right"/>
              <w:rPr>
                <w:sz w:val="16"/>
              </w:rPr>
            </w:pPr>
            <w:r>
              <w:rPr>
                <w:sz w:val="16"/>
                <w:szCs w:val="16"/>
              </w:rPr>
              <w:t>(15)</w:t>
            </w:r>
          </w:p>
        </w:tc>
      </w:tr>
    </w:tbl>
    <w:p w14:paraId="2D10216C">
      <w:pPr>
        <w:pStyle w:val="7"/>
        <w:numPr>
          <w:ilvl w:val="0"/>
          <w:numId w:val="0"/>
        </w:numPr>
        <w:snapToGrid w:val="0"/>
        <w:rPr>
          <w:sz w:val="20"/>
        </w:rPr>
      </w:pPr>
      <w:r>
        <w:rPr>
          <w:rFonts w:hint="eastAsia"/>
          <w:sz w:val="20"/>
          <w:szCs w:val="20"/>
        </w:rPr>
        <w:t>牛顿与欧拉方程可以写为</w:t>
      </w:r>
    </w:p>
    <w:tbl>
      <w:tblPr>
        <w:tblStyle w:val="10"/>
        <w:tblW w:w="4866" w:type="dxa"/>
        <w:tblCaption w:val="Equation 1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85BF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FE746F9">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5B7C8E4B">
            <w:pPr>
              <w:numPr>
                <w:ilvl w:val="0"/>
                <w:numId w:val="0"/>
              </w:numPr>
              <w:snapToGrid w:val="0"/>
              <w:jc w:val="right"/>
              <w:rPr>
                <w:sz w:val="16"/>
              </w:rPr>
            </w:pPr>
            <w:r>
              <w:rPr>
                <w:sz w:val="16"/>
                <w:szCs w:val="16"/>
              </w:rPr>
              <w:t>(16)</w:t>
            </w:r>
          </w:p>
        </w:tc>
      </w:tr>
    </w:tbl>
    <w:p w14:paraId="24DF0689">
      <w:pPr>
        <w:pStyle w:val="7"/>
        <w:numPr>
          <w:ilvl w:val="0"/>
          <w:numId w:val="0"/>
        </w:numPr>
        <w:snapToGrid w:val="0"/>
        <w:rPr>
          <w:sz w:val="20"/>
        </w:rPr>
      </w:pPr>
      <w:r>
        <w:rPr>
          <w:rFonts w:hint="eastAsia"/>
          <w:sz w:val="20"/>
          <w:szCs w:val="20"/>
        </w:rPr>
        <w:t>其中</w:t>
      </w:r>
      <w:r>
        <w:rPr>
          <w:sz w:val="20"/>
          <w:szCs w:val="20"/>
        </w:rPr>
        <w:t xml:space="preserve"> </w:t>
      </w:r>
      <m:oMath>
        <m:r>
          <m:rPr>
            <m:sty m:val="b"/>
          </m:rPr>
          <w:rPr>
            <w:rFonts w:ascii="Cambria Math" w:hAnsi="Cambria Math" w:eastAsia="Cambria Math" w:cs="Cambria Math"/>
            <w:sz w:val="20"/>
            <w:szCs w:val="20"/>
          </w:rPr>
          <m:t>H</m:t>
        </m:r>
        <m:r>
          <m:rPr>
            <m:sty m:val="p"/>
          </m:rPr>
          <w:rPr>
            <w:rFonts w:ascii="Cambria Math" w:hAnsi="Cambria Math" w:eastAsia="Cambria Math" w:cs="Cambria Math"/>
            <w:sz w:val="20"/>
            <w:szCs w:val="20"/>
          </w:rPr>
          <m:t>∈</m:t>
        </m:r>
        <m:sSup>
          <m:sSupPr/>
          <m:e>
            <m:r>
              <m:rPr>
                <m:sty m:val="p"/>
                <m:scr m:val="double-struck"/>
              </m:rPr>
              <w:rPr>
                <w:rFonts w:ascii="Cambria Math" w:hAnsi="Cambria Math" w:eastAsia="Cambria Math" w:cs="Cambria Math"/>
                <w:sz w:val="20"/>
                <w:szCs w:val="20"/>
              </w:rPr>
              <m:t>ℝ</m:t>
            </m:r>
          </m:e>
          <m:sup>
            <m:r>
              <m:rPr/>
              <w:rPr>
                <w:rFonts w:ascii="Cambria Math" w:hAnsi="Cambria Math" w:eastAsia="Cambria Math" w:cs="Cambria Math"/>
                <w:sz w:val="20"/>
                <w:szCs w:val="20"/>
              </w:rPr>
              <m:t>6</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12</m:t>
            </m:r>
          </m:sup>
        </m:sSup>
      </m:oMath>
      <w:r>
        <w:rPr>
          <w:rFonts w:hint="eastAsia"/>
          <w:sz w:val="20"/>
          <w:szCs w:val="20"/>
        </w:rPr>
        <w:t>。与原稿一致，低速计算可忽略</w:t>
      </w:r>
      <w:r>
        <w:rPr>
          <w:sz w:val="20"/>
          <w:szCs w:val="20"/>
        </w:rPr>
        <w:t xml:space="preserve"> </w:t>
      </w:r>
      <m:oMath>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oMath>
      <w:r>
        <w:rPr>
          <w:rFonts w:hint="eastAsia"/>
          <w:sz w:val="20"/>
          <w:szCs w:val="20"/>
        </w:rPr>
        <w:t>；姿态变化明显或机械臂快速运动时，需要重新评估此近似。无接触不等式约束时，最小范数分配为</w:t>
      </w:r>
    </w:p>
    <w:tbl>
      <w:tblPr>
        <w:tblStyle w:val="10"/>
        <w:tblW w:w="4866" w:type="dxa"/>
        <w:tblCaption w:val="Equation 1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7C3E56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D68AA4C">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H</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2EC6006A">
            <w:pPr>
              <w:numPr>
                <w:ilvl w:val="0"/>
                <w:numId w:val="0"/>
              </w:numPr>
              <w:snapToGrid w:val="0"/>
              <w:jc w:val="right"/>
              <w:rPr>
                <w:sz w:val="16"/>
              </w:rPr>
            </w:pPr>
            <w:r>
              <w:rPr>
                <w:sz w:val="16"/>
                <w:szCs w:val="16"/>
              </w:rPr>
              <w:t>(17)</w:t>
            </w:r>
          </w:p>
        </w:tc>
      </w:tr>
    </w:tbl>
    <w:p w14:paraId="3AFAEA53">
      <w:pPr>
        <w:pStyle w:val="7"/>
        <w:numPr>
          <w:ilvl w:val="0"/>
          <w:numId w:val="0"/>
        </w:numPr>
        <w:snapToGrid w:val="0"/>
        <w:rPr>
          <w:sz w:val="20"/>
        </w:rPr>
      </w:pPr>
      <w:r>
        <w:rPr>
          <w:rFonts w:hint="eastAsia"/>
          <w:sz w:val="20"/>
          <w:szCs w:val="20"/>
        </w:rPr>
        <w:t>右侧逆矩阵形式仅在</w:t>
      </w:r>
      <w:r>
        <w:rPr>
          <w:sz w:val="20"/>
          <w:szCs w:val="20"/>
        </w:rPr>
        <w:t xml:space="preserve"> </w:t>
      </w:r>
      <m:oMath>
        <m:r>
          <m:rPr>
            <m:sty m:val="b"/>
          </m:rPr>
          <w:rPr>
            <w:rFonts w:ascii="Cambria Math" w:hAnsi="Cambria Math" w:eastAsia="Cambria Math" w:cs="Cambria Math"/>
            <w:sz w:val="20"/>
            <w:szCs w:val="20"/>
          </w:rPr>
          <m:t>H</m:t>
        </m:r>
      </m:oMath>
      <w:r>
        <w:rPr>
          <w:sz w:val="20"/>
          <w:szCs w:val="20"/>
        </w:rPr>
        <w:t xml:space="preserve"> </w:t>
      </w:r>
      <w:r>
        <w:rPr>
          <w:rFonts w:hint="eastAsia"/>
          <w:sz w:val="20"/>
          <w:szCs w:val="20"/>
        </w:rPr>
        <w:t>满行秩时成立。在本文的常态四轮接地构型下，四个触点不全共线，因此该矩阵的秩为 6，满足满行秩条件。该解最小化接触力的欧氏范数。</w:t>
      </w:r>
    </w:p>
    <w:bookmarkEnd w:id="12"/>
    <w:p w14:paraId="1F9BE2B0">
      <w:pPr>
        <w:pStyle w:val="4"/>
        <w:numPr>
          <w:ilvl w:val="2"/>
          <w:numId w:val="0"/>
        </w:numPr>
        <w:snapToGrid w:val="0"/>
      </w:pPr>
      <w:bookmarkStart w:id="13" w:name="姿态控制器"/>
      <w:r>
        <w:t xml:space="preserve">5) </w:t>
      </w:r>
      <w:r>
        <w:rPr>
          <w:rFonts w:hint="eastAsia"/>
        </w:rPr>
        <w:t>姿态控制器</w:t>
      </w:r>
    </w:p>
    <w:p w14:paraId="3D05A0BA">
      <w:pPr>
        <w:pStyle w:val="7"/>
        <w:numPr>
          <w:ilvl w:val="0"/>
          <w:numId w:val="0"/>
        </w:numPr>
        <w:snapToGrid w:val="0"/>
        <w:rPr>
          <w:sz w:val="20"/>
        </w:rPr>
      </w:pPr>
      <w:r>
        <w:rPr>
          <w:rFonts w:hint="eastAsia"/>
          <w:sz w:val="20"/>
          <w:szCs w:val="20"/>
        </w:rPr>
        <w:t>固定腿部关节姿态难以适应地面高度变化。本文保留原稿“由姿态误差增量调整腿长”的控制思路，以惯性测量单元（IMU）提供的滚转角</w:t>
      </w:r>
      <w:r>
        <w:rPr>
          <w:sz w:val="20"/>
          <w:szCs w:val="20"/>
        </w:rPr>
        <w:t xml:space="preserve"> </w:t>
      </w:r>
      <m:oMath>
        <m:r>
          <m:rPr/>
          <w:rPr>
            <w:rFonts w:ascii="Cambria Math" w:hAnsi="Cambria Math" w:eastAsia="Cambria Math" w:cs="Cambria Math"/>
            <w:sz w:val="20"/>
            <w:szCs w:val="20"/>
          </w:rPr>
          <m:t>ϕ</m:t>
        </m:r>
      </m:oMath>
      <w:r>
        <w:rPr>
          <w:rFonts w:hint="eastAsia"/>
          <w:sz w:val="20"/>
          <w:szCs w:val="20"/>
        </w:rPr>
        <w:t>、俯仰角</w:t>
      </w:r>
      <w:r>
        <w:rPr>
          <w:sz w:val="20"/>
          <w:szCs w:val="20"/>
        </w:rPr>
        <w:t xml:space="preserve"> </w:t>
      </w:r>
      <m:oMath>
        <m:r>
          <m:rPr/>
          <w:rPr>
            <w:rFonts w:ascii="Cambria Math" w:hAnsi="Cambria Math" w:eastAsia="Cambria Math" w:cs="Cambria Math"/>
            <w:sz w:val="20"/>
            <w:szCs w:val="20"/>
          </w:rPr>
          <m:t>θ</m:t>
        </m:r>
      </m:oMath>
      <w:r>
        <w:rPr>
          <w:sz w:val="20"/>
          <w:szCs w:val="20"/>
        </w:rPr>
        <w:t xml:space="preserve"> </w:t>
      </w:r>
      <w:r>
        <w:rPr>
          <w:rFonts w:hint="eastAsia"/>
          <w:sz w:val="20"/>
          <w:szCs w:val="20"/>
        </w:rPr>
        <w:t>及角速度作为反馈。本文采用角度—角速度双环 P 控制，并累加腿高修正</w:t>
      </w:r>
      <w:r>
        <w:rPr>
          <w:sz w:val="20"/>
          <w:szCs w:val="20"/>
        </w:rPr>
        <w:t xml:space="preserve"> </w:t>
      </w:r>
      <w:r>
        <w:rPr>
          <w:rFonts w:hint="eastAsia"/>
          <w:sz w:val="20"/>
          <w:szCs w:val="20"/>
        </w:rPr>
        <w:t>[4]。闭环控制结构如 Fig. 6 所示。对任一姿态轴</w:t>
      </w:r>
      <w:r>
        <w:rPr>
          <w:sz w:val="20"/>
          <w:szCs w:val="20"/>
        </w:rPr>
        <w:t xml:space="preserve"> </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ϕ</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θ</m:t>
        </m:r>
        <m:r>
          <m:rPr>
            <m:sty m:val="p"/>
          </m:rPr>
          <w:rPr>
            <w:rFonts w:ascii="Cambria Math" w:hAnsi="Cambria Math" w:eastAsia="Cambria Math" w:cs="Cambria Math"/>
            <w:sz w:val="20"/>
            <w:szCs w:val="20"/>
          </w:rPr>
          <m:t>}</m:t>
        </m:r>
      </m:oMath>
      <w:r>
        <w:rPr>
          <w:rFonts w:hint="eastAsia"/>
          <w:sz w:val="20"/>
          <w:szCs w:val="20"/>
        </w:rPr>
        <w:t>，可写为</w:t>
      </w:r>
    </w:p>
    <w:tbl>
      <w:tblPr>
        <w:tblStyle w:val="10"/>
        <w:tblW w:w="4866" w:type="dxa"/>
        <w:tblCaption w:val="Equation 1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8B277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542C03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χ</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χ</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h,</m:t>
                        </m:r>
                        <m:r>
                          <m:rPr/>
                          <w:rPr>
                            <w:rFonts w:ascii="Cambria Math" w:hAnsi="Cambria Math" w:eastAsia="Cambria Math" w:cs="Cambria Math"/>
                            <w:sz w:val="18"/>
                            <w:szCs w:val="18"/>
                          </w:rPr>
                          <m:t>χ</m:t>
                        </m:r>
                      </m:sub>
                    </m:sSub>
                    <m:d>
                      <m:dPr>
                        <m:sepChr m:val=""/>
                      </m:dPr>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acc>
                          <m:accPr>
                            <m:chr m:val="̇"/>
                          </m:accPr>
                          <m:e>
                            <m:r>
                              <m:rPr/>
                              <w:rPr>
                                <w:rFonts w:ascii="Cambria Math" w:hAnsi="Cambria Math" w:eastAsia="Cambria Math" w:cs="Cambria Math"/>
                                <w:sz w:val="18"/>
                                <w:szCs w:val="18"/>
                              </w:rPr>
                              <m:t>χ</m:t>
                            </m:r>
                          </m:e>
                        </m:acc>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qArr>
              </m:oMath>
            </m:oMathPara>
          </w:p>
        </w:tc>
        <w:tc>
          <w:tcPr>
            <w:tcW w:w="390" w:type="dxa"/>
            <w:vAlign w:val="center"/>
          </w:tcPr>
          <w:p w14:paraId="45460297">
            <w:pPr>
              <w:numPr>
                <w:ilvl w:val="0"/>
                <w:numId w:val="0"/>
              </w:numPr>
              <w:snapToGrid w:val="0"/>
              <w:jc w:val="right"/>
              <w:rPr>
                <w:sz w:val="16"/>
              </w:rPr>
            </w:pPr>
            <w:r>
              <w:rPr>
                <w:sz w:val="16"/>
                <w:szCs w:val="16"/>
              </w:rPr>
              <w:t>(18)</w:t>
            </w:r>
          </w:p>
        </w:tc>
      </w:tr>
    </w:tbl>
    <w:p w14:paraId="571A4266">
      <w:pPr>
        <w:pStyle w:val="7"/>
        <w:numPr>
          <w:ilvl w:val="0"/>
          <w:numId w:val="0"/>
        </w:numPr>
        <w:snapToGrid w:val="0"/>
        <w:rPr>
          <w:sz w:val="20"/>
        </w:rPr>
      </w:pPr>
      <w:r>
        <w:rPr>
          <w:rFonts w:hint="eastAsia"/>
          <w:sz w:val="20"/>
          <w:szCs w:val="20"/>
        </w:rPr>
        <w:t>其中，</w:t>
      </w:r>
      <m:oMath>
        <m:r>
          <m:rPr/>
          <w:rPr>
            <w:rFonts w:ascii="Cambria Math" w:hAnsi="Cambria Math" w:eastAsia="Cambria Math" w:cs="Cambria Math"/>
            <w:sz w:val="20"/>
            <w:szCs w:val="20"/>
          </w:rPr>
          <m:t>k</m:t>
        </m:r>
      </m:oMath>
      <w:r>
        <w:rPr>
          <w:rFonts w:hint="eastAsia"/>
          <w:sz w:val="20"/>
          <w:szCs w:val="20"/>
        </w:rPr>
        <w:t xml:space="preserve"> 为采样序号；</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和 </w:t>
      </w:r>
      <m:oMath>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分别为当前与期望姿态角，</w:t>
      </w:r>
      <m:oMath>
        <m:sSub>
          <m:sSubPr/>
          <m:e>
            <m:r>
              <m:rPr/>
              <w:rPr>
                <w:rFonts w:ascii="Cambria Math" w:hAnsi="Cambria Math" w:eastAsia="Cambria Math" w:cs="Cambria Math"/>
                <w:sz w:val="20"/>
                <w:szCs w:val="20"/>
              </w:rPr>
              <m:t>e</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为姿态角误差，单位均为 rad。</w:t>
      </w:r>
      <m:oMath>
        <m:acc>
          <m:accPr>
            <m:chr m:val="̇"/>
          </m:accPr>
          <m:e>
            <m:r>
              <m:rPr/>
              <w:rPr>
                <w:rFonts w:ascii="Cambria Math" w:hAnsi="Cambria Math" w:eastAsia="Cambria Math" w:cs="Cambria Math"/>
                <w:sz w:val="20"/>
                <w:szCs w:val="20"/>
              </w:rPr>
              <m:t>χ</m:t>
            </m:r>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 IMU 测得的当前角速度，</w:t>
      </w:r>
      <m:oMath>
        <m:acc>
          <m:accPr>
            <m:chr m:val="̇"/>
          </m:accPr>
          <m:e>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为角度环给出的期望角速度，单位为 rad/s。</w:t>
      </w:r>
    </w:p>
    <w:p w14:paraId="6F107001">
      <w:pPr>
        <w:pStyle w:val="7"/>
        <w:numPr>
          <w:ilvl w:val="0"/>
          <w:numId w:val="0"/>
        </w:numPr>
        <w:snapToGrid w:val="0"/>
        <w:rPr>
          <w:sz w:val="20"/>
        </w:rPr>
      </w:pP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p,</m:t>
            </m:r>
            <m:r>
              <m:rPr/>
              <w:rPr>
                <w:rFonts w:ascii="Cambria Math" w:hAnsi="Cambria Math" w:eastAsia="Cambria Math" w:cs="Cambria Math"/>
                <w:sz w:val="20"/>
                <w:szCs w:val="20"/>
              </w:rPr>
              <m:t>χ</m:t>
            </m:r>
          </m:sub>
        </m:sSub>
      </m:oMath>
      <w:r>
        <w:rPr>
          <w:rFonts w:hint="eastAsia"/>
          <w:sz w:val="20"/>
          <w:szCs w:val="20"/>
        </w:rPr>
        <w:t xml:space="preserve"> 为角度环比例增益，将姿态角误差转换为期望角速度；</w:t>
      </w: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h,</m:t>
            </m:r>
            <m:r>
              <m:rPr/>
              <w:rPr>
                <w:rFonts w:ascii="Cambria Math" w:hAnsi="Cambria Math" w:eastAsia="Cambria Math" w:cs="Cambria Math"/>
                <w:sz w:val="20"/>
                <w:szCs w:val="20"/>
              </w:rPr>
              <m:t>χ</m:t>
            </m:r>
          </m:sub>
        </m:sSub>
      </m:oMath>
      <w:r>
        <w:rPr>
          <w:rFonts w:hint="eastAsia"/>
          <w:sz w:val="20"/>
          <w:szCs w:val="20"/>
        </w:rPr>
        <w:t xml:space="preserve"> 为角速度环比例增益的离散形式，将角速度误差转换为本周期的高度修正增量 </w:t>
      </w:r>
      <m:oMath>
        <m:r>
          <m:rPr>
            <m:sty m:val="p"/>
          </m:rPr>
          <w:rPr>
            <w:rFonts w:ascii="Cambria Math" w:hAnsi="Cambria Math" w:eastAsia="Cambria Math" w:cs="Cambria Math"/>
            <w:sz w:val="20"/>
            <w:szCs w:val="20"/>
          </w:rPr>
          <m:t>Δ</m:t>
        </m:r>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，已包含采样周期的影响。</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为累加后的支撑高度修正量，</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−1]</m:t>
        </m:r>
      </m:oMath>
      <w:r>
        <w:rPr>
          <w:rFonts w:hint="eastAsia"/>
          <w:sz w:val="20"/>
          <w:szCs w:val="20"/>
        </w:rPr>
        <w:t xml:space="preserve"> 为上一周期的值；高度修正量及其增量的单位均为 m。</w:t>
      </w:r>
    </w:p>
    <w:p w14:paraId="194B4AE2">
      <w:pPr>
        <w:pStyle w:val="7"/>
        <w:numPr>
          <w:ilvl w:val="0"/>
          <w:numId w:val="0"/>
        </w:numPr>
        <w:snapToGrid w:val="0"/>
        <w:rPr>
          <w:sz w:val="20"/>
        </w:rPr>
      </w:pPr>
      <w:r>
        <w:rPr>
          <w:rFonts w:hint="eastAsia"/>
          <w:sz w:val="20"/>
          <w:szCs w:val="20"/>
        </w:rPr>
        <w:t>支撑高度按四轮在机体系中的分布进行分配。</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,x</m:t>
            </m:r>
          </m:sub>
        </m:sSub>
      </m:oMath>
      <w:r>
        <w:rPr>
          <w:rFonts w:hint="eastAsia"/>
          <w:sz w:val="20"/>
          <w:szCs w:val="20"/>
        </w:rPr>
        <w:t>、</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,y</m:t>
            </m:r>
          </m:sub>
        </m:sSub>
      </m:oMath>
      <w:r>
        <w:rPr>
          <w:rFonts w:hint="eastAsia"/>
          <w:sz w:val="20"/>
          <w:szCs w:val="20"/>
        </w:rPr>
        <w:t xml:space="preserve"> 为轮心位置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rFonts w:hint="eastAsia"/>
          <w:sz w:val="20"/>
          <w:szCs w:val="20"/>
        </w:rPr>
        <w:t xml:space="preserve"> 的前向、左向分量；</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b</m:t>
            </m:r>
          </m:sub>
        </m:sSub>
      </m:oMath>
      <w:r>
        <w:rPr>
          <w:rFonts w:hint="eastAsia"/>
          <w:sz w:val="20"/>
          <w:szCs w:val="20"/>
        </w:rPr>
        <w:t>、</w:t>
      </w:r>
      <m:oMath>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b</m:t>
            </m:r>
          </m:sub>
        </m:sSub>
      </m:oMath>
      <w:r>
        <w:rPr>
          <w:rFonts w:hint="eastAsia"/>
          <w:sz w:val="20"/>
          <w:szCs w:val="20"/>
        </w:rPr>
        <w:t xml:space="preserve"> 分别为前后、左右轮心间距的一半，均为正值，上述长度的单位均为 m。在四腿近似对称、小姿态角和触点高度暂时固定的条件下，可将修正分配为</w:t>
      </w:r>
    </w:p>
    <w:tbl>
      <w:tblPr>
        <w:tblStyle w:val="10"/>
        <w:tblW w:w="4866" w:type="dxa"/>
        <w:tblCaption w:val="Equation 1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67A32C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E342114">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w:rPr>
                        <w:rFonts w:ascii="Cambria Math" w:hAnsi="Cambria Math" w:eastAsia="Cambria Math" w:cs="Cambria Math"/>
                        <w:sz w:val="18"/>
                        <w:szCs w:val="18"/>
                      </w:rPr>
                      <m:t>h</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d</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h</m:t>
                    </m:r>
                  </m:e>
                  <m:sub>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,y</m:t>
                        </m:r>
                      </m:sub>
                    </m:sSub>
                  </m:num>
                  <m:den>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ϕ</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,x</m:t>
                        </m:r>
                      </m:sub>
                    </m:sSub>
                  </m:num>
                  <m:den>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θ</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oMath>
            </m:oMathPara>
          </w:p>
        </w:tc>
        <w:tc>
          <w:tcPr>
            <w:tcW w:w="390" w:type="dxa"/>
            <w:vAlign w:val="center"/>
          </w:tcPr>
          <w:p w14:paraId="4D4E5648">
            <w:pPr>
              <w:numPr>
                <w:ilvl w:val="0"/>
                <w:numId w:val="0"/>
              </w:numPr>
              <w:snapToGrid w:val="0"/>
              <w:jc w:val="right"/>
              <w:rPr>
                <w:sz w:val="16"/>
              </w:rPr>
            </w:pPr>
            <w:r>
              <w:rPr>
                <w:sz w:val="16"/>
                <w:szCs w:val="16"/>
              </w:rPr>
              <w:t>(19)</w:t>
            </w:r>
          </w:p>
        </w:tc>
      </w:tr>
    </w:tbl>
    <w:p w14:paraId="39AC3763">
      <w:pPr>
        <w:pStyle w:val="7"/>
        <w:numPr>
          <w:ilvl w:val="0"/>
          <w:numId w:val="0"/>
        </w:numPr>
        <w:snapToGrid w:val="0"/>
        <w:rPr>
          <w:sz w:val="20"/>
        </w:rPr>
      </w:pPr>
      <w:r>
        <w:rPr>
          <w:rFonts w:hint="eastAsia"/>
          <w:sz w:val="20"/>
          <w:szCs w:val="20"/>
        </w:rPr>
        <w:t>其中，</w:t>
      </w:r>
      <m:oMath>
        <m:sSub>
          <m:sSubPr/>
          <m:e>
            <m:r>
              <m:rPr/>
              <w:rPr>
                <w:rFonts w:ascii="Cambria Math" w:hAnsi="Cambria Math" w:eastAsia="Cambria Math" w:cs="Cambria Math"/>
                <w:sz w:val="20"/>
                <w:szCs w:val="20"/>
              </w:rPr>
              <m:t>h</m:t>
            </m:r>
          </m:e>
          <m:sub>
            <m:r>
              <m:rPr>
                <m:sty m:val="p"/>
              </m:rPr>
              <w:rPr>
                <w:rFonts w:ascii="Cambria Math" w:hAnsi="Cambria Math" w:eastAsia="Cambria Math" w:cs="Cambria Math"/>
                <w:sz w:val="20"/>
                <w:szCs w:val="20"/>
              </w:rPr>
              <m:t>0</m:t>
            </m:r>
          </m:sub>
        </m:sSub>
      </m:oMath>
      <w:r>
        <w:rPr>
          <w:rFonts w:hint="eastAsia"/>
          <w:sz w:val="20"/>
          <w:szCs w:val="20"/>
        </w:rPr>
        <w:t xml:space="preserve"> 为</w:t>
      </w:r>
      <w:r>
        <w:rPr>
          <w:rFonts w:hint="eastAsia"/>
          <w:sz w:val="20"/>
          <w:szCs w:val="20"/>
          <w:lang w:eastAsia="zh-CN"/>
        </w:rPr>
        <w:t>基准</w:t>
      </w:r>
      <w:r>
        <w:rPr>
          <w:rFonts w:hint="eastAsia"/>
          <w:sz w:val="20"/>
          <w:szCs w:val="20"/>
        </w:rPr>
        <w:t>支撑高度，</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 xml:space="preserve"> 为第 </w:t>
      </w:r>
      <m:oMath>
        <m:r>
          <m:rPr/>
          <w:rPr>
            <w:rFonts w:ascii="Cambria Math" w:hAnsi="Cambria Math" w:eastAsia="Cambria Math" w:cs="Cambria Math"/>
            <w:sz w:val="20"/>
            <w:szCs w:val="20"/>
          </w:rPr>
          <m:t>i</m:t>
        </m:r>
      </m:oMath>
      <w:r>
        <w:rPr>
          <w:rFonts w:hint="eastAsia"/>
          <w:sz w:val="20"/>
          <w:szCs w:val="20"/>
        </w:rPr>
        <w:t xml:space="preserve"> 条腿的期望支撑高度，均以向下为正、单位为 m；</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ϕ</m:t>
            </m:r>
          </m:sub>
        </m:sSub>
      </m:oMath>
      <w:r>
        <w:rPr>
          <w:rFonts w:hint="eastAsia"/>
          <w:sz w:val="20"/>
          <w:szCs w:val="20"/>
        </w:rPr>
        <w:t>、</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θ</m:t>
            </m:r>
          </m:sub>
        </m:sSub>
      </m:oMath>
      <w:r>
        <w:rPr>
          <w:rFonts w:hint="eastAsia"/>
          <w:sz w:val="20"/>
          <w:szCs w:val="20"/>
        </w:rPr>
        <w:t xml:space="preserve"> 分别为滚转、俯仰控制器输出的高度修正量。转换为关节角度时，</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表示第 </w:t>
      </w:r>
      <m:oMath>
        <m:r>
          <m:rPr/>
          <w:rPr>
            <w:rFonts w:ascii="Cambria Math" w:hAnsi="Cambria Math" w:eastAsia="Cambria Math" w:cs="Cambria Math"/>
            <w:sz w:val="20"/>
            <w:szCs w:val="20"/>
          </w:rPr>
          <m:t>i</m:t>
        </m:r>
      </m:oMath>
      <w:r>
        <w:rPr>
          <w:rFonts w:hint="eastAsia"/>
          <w:sz w:val="20"/>
          <w:szCs w:val="20"/>
        </w:rPr>
        <w:t xml:space="preserve"> 个轮心在其腿基坐标系下的目标坐标，分别对应单腿逆运动学中的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oMath>
      <w:r>
        <w:rPr>
          <w:rFonts w:hint="eastAsia"/>
          <w:sz w:val="20"/>
          <w:szCs w:val="20"/>
        </w:rPr>
        <w:t xml:space="preserve">。姿态调节保持 </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 xml:space="preserve"> 的设定值，并令 </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 −</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，再由单腿逆解得到关节目标。实际坐标安装方向应据此标定；高度、关节角及输出增量均需限幅，饱和时停止向不可达方向累加。</w:t>
      </w:r>
    </w:p>
    <w:p w14:paraId="6F106001">
      <w:pPr>
        <w:keepNext/>
        <w:keepLines/>
        <w:numPr>
          <w:ilvl w:val="0"/>
          <w:numId w:val="0"/>
        </w:numPr>
        <w:snapToGrid w:val="0"/>
        <w:spacing w:before="60" w:after="60" w:line="240" w:lineRule="auto"/>
        <w:ind w:left="0" w:right="0" w:firstLine="0"/>
        <w:jc w:val="center"/>
      </w:pPr>
      <w:r>
        <w:drawing>
          <wp:inline distT="0" distB="0" distL="0" distR="0">
            <wp:extent cx="3059430" cy="4307840"/>
            <wp:effectExtent l="0" t="0" r="7620" b="635"/>
            <wp:docPr id="27" name="Fig. 6" descr="底盘姿态控制器闭环方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 6" descr="底盘姿态控制器闭环方框图"/>
                    <pic:cNvPicPr>
                      <a:picLocks noChangeAspect="1"/>
                    </pic:cNvPicPr>
                  </pic:nvPicPr>
                  <pic:blipFill>
                    <a:blip r:embed="rId9"/>
                    <a:stretch>
                      <a:fillRect/>
                    </a:stretch>
                  </pic:blipFill>
                  <pic:spPr>
                    <a:xfrm>
                      <a:off x="0" y="0"/>
                      <a:ext cx="3060000" cy="4308158"/>
                    </a:xfrm>
                    <a:prstGeom prst="rect">
                      <a:avLst/>
                    </a:prstGeom>
                  </pic:spPr>
                </pic:pic>
              </a:graphicData>
            </a:graphic>
          </wp:inline>
        </w:drawing>
      </w:r>
    </w:p>
    <w:p w14:paraId="6F106002">
      <w:pPr>
        <w:pStyle w:val="18"/>
        <w:numPr>
          <w:ilvl w:val="0"/>
          <w:numId w:val="0"/>
        </w:numPr>
        <w:snapToGrid w:val="0"/>
      </w:pPr>
      <w:r>
        <w:t>Fig. 6. 底盘姿态控制器闭环方框图。滚转与俯仰分别采用式（18）的双环 P 控制及高度增量累加，两轴修正量经式（19）共同分配至四腿；关节伺服内环合并表示。</w:t>
      </w:r>
    </w:p>
    <w:bookmarkEnd w:id="8"/>
    <w:bookmarkEnd w:id="13"/>
    <w:p w14:paraId="3E18FD99">
      <w:pPr>
        <w:pStyle w:val="3"/>
        <w:numPr>
          <w:ilvl w:val="1"/>
          <w:numId w:val="0"/>
        </w:numPr>
        <w:snapToGrid w:val="0"/>
      </w:pPr>
      <w:bookmarkStart w:id="14" w:name="c.-机械臂逆运动学"/>
      <w:r>
        <w:t xml:space="preserve">C. </w:t>
      </w:r>
      <w:r>
        <w:rPr>
          <w:rFonts w:hint="eastAsia"/>
        </w:rPr>
        <w:t>机械臂逆运动学</w:t>
      </w:r>
    </w:p>
    <w:p w14:paraId="46EF2C59">
      <w:pPr>
        <w:pStyle w:val="7"/>
        <w:numPr>
          <w:ilvl w:val="0"/>
          <w:numId w:val="0"/>
        </w:numPr>
        <w:snapToGrid w:val="0"/>
        <w:rPr>
          <w:sz w:val="20"/>
        </w:rPr>
      </w:pPr>
      <w:r>
        <w:rPr>
          <w:rFonts w:hint="eastAsia"/>
          <w:sz w:val="20"/>
          <w:szCs w:val="20"/>
        </w:rPr>
        <w:t>六轴机械臂采用肘式臂与球腕结构，末三轴交于腕心，可将逆解分为前三轴定位和后三轴定姿</w:t>
      </w:r>
      <w:r>
        <w:rPr>
          <w:sz w:val="20"/>
          <w:szCs w:val="20"/>
        </w:rPr>
        <w:t xml:space="preserve"> </w:t>
      </w:r>
      <w:r>
        <w:rPr>
          <w:rFonts w:hint="eastAsia"/>
          <w:sz w:val="20"/>
          <w:szCs w:val="20"/>
        </w:rPr>
        <w:t>[4]。给定末端目标位置</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oMath>
      <w:r>
        <w:rPr>
          <w:sz w:val="20"/>
          <w:szCs w:val="20"/>
        </w:rPr>
        <w:t xml:space="preserve"> </w:t>
      </w:r>
      <w:r>
        <w:rPr>
          <w:rFonts w:hint="eastAsia"/>
          <w:sz w:val="20"/>
          <w:szCs w:val="20"/>
        </w:rPr>
        <w:t>和姿态</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oMath>
      <w:r>
        <w:rPr>
          <w:rFonts w:hint="eastAsia"/>
          <w:sz w:val="20"/>
          <w:szCs w:val="20"/>
        </w:rPr>
        <w:t>，按照报告的工具坐标约定，腕心沿工具负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轴回退距离</w:t>
      </w:r>
      <w:r>
        <w:rPr>
          <w:sz w:val="20"/>
          <w:szCs w:val="20"/>
        </w:rPr>
        <w:t xml:space="preserve"> </w:t>
      </w:r>
      <m:oMath>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oMath>
      <w:r>
        <w:rPr>
          <w:rFonts w:hint="eastAsia"/>
          <w:sz w:val="20"/>
          <w:szCs w:val="20"/>
        </w:rPr>
        <w:t>：</w:t>
      </w:r>
    </w:p>
    <w:tbl>
      <w:tblPr>
        <w:tblStyle w:val="10"/>
        <w:tblW w:w="4866" w:type="dxa"/>
        <w:tblCaption w:val="Equation 2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C35510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545C52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d</m:t>
                    </m:r>
                  </m:e>
                  <m:sub>
                    <m:r>
                      <m:rPr/>
                      <w:rPr>
                        <w:rFonts w:ascii="Cambria Math" w:hAnsi="Cambria Math" w:eastAsia="Cambria Math" w:cs="Cambria Math"/>
                        <w:sz w:val="18"/>
                        <w:szCs w:val="18"/>
                      </w:rPr>
                      <m:t>6</m:t>
                    </m:r>
                  </m:sub>
                </m:sSub>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m:t>
                </m:r>
              </m:oMath>
            </m:oMathPara>
          </w:p>
        </w:tc>
        <w:tc>
          <w:tcPr>
            <w:tcW w:w="390" w:type="dxa"/>
            <w:vAlign w:val="center"/>
          </w:tcPr>
          <w:p w14:paraId="1F9E9F69">
            <w:pPr>
              <w:numPr>
                <w:ilvl w:val="0"/>
                <w:numId w:val="0"/>
              </w:numPr>
              <w:snapToGrid w:val="0"/>
              <w:jc w:val="right"/>
              <w:rPr>
                <w:sz w:val="16"/>
              </w:rPr>
            </w:pPr>
            <w:r>
              <w:rPr>
                <w:sz w:val="16"/>
                <w:szCs w:val="16"/>
              </w:rPr>
              <w:t>(20)</w:t>
            </w:r>
          </w:p>
        </w:tc>
      </w:tr>
    </w:tbl>
    <w:p w14:paraId="540695CD">
      <w:pPr>
        <w:keepNext/>
        <w:keepLines/>
        <w:numPr>
          <w:ilvl w:val="0"/>
          <w:numId w:val="0"/>
        </w:numPr>
        <w:snapToGrid w:val="0"/>
        <w:spacing w:before="60" w:after="60" w:line="240" w:lineRule="auto"/>
        <w:ind w:left="0" w:right="0" w:firstLine="0"/>
        <w:jc w:val="center"/>
      </w:pPr>
      <w:r>
        <w:drawing>
          <wp:inline distT="0" distB="0" distL="0" distR="0">
            <wp:extent cx="3059430" cy="1019810"/>
            <wp:effectExtent l="0" t="0" r="7620" b="8890"/>
            <wp:docPr id="28" name="Fig. 7" descr="机械臂侧视图上的关节坐标系定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Fig. 7" descr="机械臂侧视图上的关节坐标系定义"/>
                    <pic:cNvPicPr>
                      <a:picLocks noChangeAspect="1"/>
                    </pic:cNvPicPr>
                  </pic:nvPicPr>
                  <pic:blipFill>
                    <a:blip r:embed="rId10"/>
                    <a:stretch>
                      <a:fillRect/>
                    </a:stretch>
                  </pic:blipFill>
                  <pic:spPr>
                    <a:xfrm>
                      <a:off x="0" y="0"/>
                      <a:ext cx="3060000" cy="1020000"/>
                    </a:xfrm>
                    <a:prstGeom prst="rect">
                      <a:avLst/>
                    </a:prstGeom>
                  </pic:spPr>
                </pic:pic>
              </a:graphicData>
            </a:graphic>
          </wp:inline>
        </w:drawing>
      </w:r>
    </w:p>
    <w:p w14:paraId="1428A8F6">
      <w:pPr>
        <w:pStyle w:val="18"/>
        <w:numPr>
          <w:ilvl w:val="0"/>
          <w:numId w:val="0"/>
        </w:numPr>
        <w:snapToGrid w:val="0"/>
      </w:pPr>
      <w:r>
        <w:rPr>
          <w:iCs/>
        </w:rPr>
        <w:t xml:space="preserve">Fig. 7. </w:t>
      </w:r>
      <w:r>
        <w:rPr>
          <w:rFonts w:hint="eastAsia"/>
          <w:iCs/>
        </w:rPr>
        <w:t xml:space="preserve">六轴机械臂关节坐标系在侧视图上的对应位置。坐标系 2、3 的原点重合，坐标系 4、5 </w:t>
      </w:r>
      <w:r>
        <w:rPr>
          <w:rFonts w:hint="eastAsia"/>
          <w:iCs/>
          <w:lang w:eastAsia="zh-CN"/>
        </w:rPr>
        <w:t>的</w:t>
      </w:r>
      <w:r>
        <w:rPr>
          <w:rFonts w:hint="eastAsia"/>
          <w:iCs/>
        </w:rPr>
        <w:t>原点重合；</w:t>
      </w:r>
    </w:p>
    <w:p w14:paraId="2743674C">
      <w:pPr>
        <w:pStyle w:val="7"/>
        <w:numPr>
          <w:ilvl w:val="0"/>
          <w:numId w:val="0"/>
        </w:numPr>
        <w:snapToGrid w:val="0"/>
        <w:rPr>
          <w:sz w:val="20"/>
        </w:rPr>
      </w:pPr>
      <w:r>
        <w:rPr>
          <w:rFonts w:hint="eastAsia"/>
          <w:sz w:val="20"/>
          <w:szCs w:val="20"/>
          <w:lang w:eastAsia="zh-CN"/>
        </w:rPr>
        <w:t>称坐标系</w:t>
      </w:r>
      <w:r>
        <w:rPr>
          <w:rFonts w:hint="eastAsia"/>
          <w:sz w:val="20"/>
          <w:szCs w:val="20"/>
          <w:lang w:val="en-US" w:eastAsia="zh-CN"/>
        </w:rPr>
        <w:t>4、5的原点为腕心，</w:t>
      </w:r>
      <w:r>
        <w:rPr>
          <w:rFonts w:hint="eastAsia"/>
          <w:sz w:val="20"/>
          <w:szCs w:val="20"/>
        </w:rPr>
        <w:t>设腕心坐标为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oMath>
      <w:r>
        <w:rPr>
          <w:rFonts w:hint="eastAsia"/>
          <w:sz w:val="20"/>
          <w:szCs w:val="20"/>
        </w:rPr>
        <w:t>，径向距离为</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e>
        </m:rad>
      </m:oMath>
      <w:r>
        <w:rPr>
          <w:rFonts w:hint="eastAsia"/>
          <w:sz w:val="20"/>
          <w:szCs w:val="20"/>
        </w:rPr>
        <w:t>。沿用报告的连杆参数与零位，</w:t>
      </w:r>
      <m:oMath>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oMath>
      <w:r>
        <w:rPr>
          <w:sz w:val="20"/>
          <w:szCs w:val="20"/>
        </w:rPr>
        <w:t xml:space="preserve"> </w:t>
      </w:r>
      <w:r>
        <w:rPr>
          <w:rFonts w:hint="eastAsia"/>
          <w:sz w:val="20"/>
          <w:szCs w:val="20"/>
        </w:rPr>
        <w:t>为肩部径向和高度偏置，等效臂长为</w:t>
      </w:r>
      <w:r>
        <w:rPr>
          <w:sz w:val="20"/>
          <w:szCs w:val="20"/>
        </w:rPr>
        <w:t xml:space="preserve"> </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2</m:t>
            </m:r>
          </m:sub>
        </m:sSub>
      </m:oMath>
      <w:r>
        <w:rPr>
          <w:sz w:val="20"/>
          <w:szCs w:val="20"/>
        </w:rPr>
        <w:t>、</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up>
                <m:r>
                  <m:rPr/>
                  <w:rPr>
                    <w:rFonts w:ascii="Cambria Math" w:hAnsi="Cambria Math" w:eastAsia="Cambria Math" w:cs="Cambria Math"/>
                    <w:sz w:val="20"/>
                    <w:szCs w:val="20"/>
                  </w:rPr>
                  <m:t>2</m:t>
                </m:r>
              </m:sup>
            </m:sSubSup>
          </m:e>
        </m:rad>
      </m:oMath>
      <w:r>
        <w:rPr>
          <w:rFonts w:hint="eastAsia"/>
          <w:sz w:val="20"/>
          <w:szCs w:val="20"/>
        </w:rPr>
        <w:t>，肘部偏角为</w:t>
      </w:r>
      <w:bookmarkStart w:id="27" w:name="_GoBack"/>
      <w:bookmarkEnd w:id="27"/>
      <w:r>
        <w:rPr>
          <w:sz w:val="20"/>
          <w:szCs w:val="20"/>
        </w:rPr>
        <w:t xml:space="preserve"> </w:t>
      </w:r>
      <m:oMath>
        <m:sSub>
          <m:sSubPr/>
          <m:e>
            <m:r>
              <m:rPr/>
              <w:rPr>
                <w:rFonts w:ascii="Cambria Math" w:hAnsi="Cambria Math" w:eastAsia="Cambria Math" w:cs="Cambria Math"/>
                <w:sz w:val="20"/>
                <w:szCs w:val="20"/>
              </w:rPr>
              <m:t>δ</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Sub>
        <m:r>
          <m:rPr>
            <m:sty m:val="p"/>
          </m:rPr>
          <w:rPr>
            <w:rFonts w:ascii="Cambria Math" w:hAnsi="Cambria Math" w:eastAsia="Cambria Math" w:cs="Cambria Math"/>
            <w:sz w:val="20"/>
            <w:szCs w:val="20"/>
          </w:rPr>
          <m:t>)</m:t>
        </m:r>
      </m:oMath>
      <w:r>
        <w:rPr>
          <w:rFonts w:hint="eastAsia"/>
          <w:sz w:val="20"/>
          <w:szCs w:val="20"/>
        </w:rPr>
        <w:t>。记肩腕距离</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ad>
          <m:radPr>
            <m:degHide m:val="1"/>
          </m:radPr>
          <m:deg/>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e>
        </m:rad>
      </m:oMath>
      <w:r>
        <w:rPr>
          <w:rFonts w:hint="eastAsia"/>
          <w:sz w:val="20"/>
          <w:szCs w:val="20"/>
        </w:rPr>
        <w:t>、方向角</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oMath>
      <w:r>
        <w:rPr>
          <w:rFonts w:hint="eastAsia"/>
          <w:sz w:val="20"/>
          <w:szCs w:val="20"/>
        </w:rPr>
        <w:t>，由平面三角形余弦定理，正向高臂分支为</w:t>
      </w:r>
    </w:p>
    <w:tbl>
      <w:tblPr>
        <w:tblStyle w:val="10"/>
        <w:tblW w:w="4866" w:type="dxa"/>
        <w:tblCaption w:val="Equation 2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64B09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D72B46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3</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π</m:t>
                    </m:r>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Sub>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δ</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690D25D1">
            <w:pPr>
              <w:numPr>
                <w:ilvl w:val="0"/>
                <w:numId w:val="0"/>
              </w:numPr>
              <w:snapToGrid w:val="0"/>
              <w:jc w:val="right"/>
              <w:rPr>
                <w:sz w:val="16"/>
              </w:rPr>
            </w:pPr>
            <w:r>
              <w:rPr>
                <w:sz w:val="16"/>
                <w:szCs w:val="16"/>
              </w:rPr>
              <w:t>(21)</w:t>
            </w:r>
          </w:p>
        </w:tc>
      </w:tr>
    </w:tbl>
    <w:p w14:paraId="3EBA8D22">
      <w:pPr>
        <w:pStyle w:val="7"/>
        <w:numPr>
          <w:ilvl w:val="0"/>
          <w:numId w:val="0"/>
        </w:numPr>
        <w:snapToGrid w:val="0"/>
        <w:rPr>
          <w:sz w:val="20"/>
        </w:rPr>
      </w:pPr>
      <w:r>
        <w:rPr>
          <w:rFonts w:hint="eastAsia"/>
          <w:sz w:val="20"/>
          <w:szCs w:val="20"/>
        </w:rPr>
        <w:t>前三轴确定旋转矩阵</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oMath>
      <w:r>
        <w:rPr>
          <w:sz w:val="20"/>
          <w:szCs w:val="20"/>
        </w:rPr>
        <w:t xml:space="preserve"> </w:t>
      </w:r>
      <w:r>
        <w:rPr>
          <w:rFonts w:hint="eastAsia"/>
          <w:sz w:val="20"/>
          <w:szCs w:val="20"/>
        </w:rPr>
        <w:t>后，由</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36</m:t>
            </m:r>
          </m:sub>
        </m:sSub>
      </m:oMath>
      <w:r>
        <w:rPr>
          <w:sz w:val="20"/>
          <w:szCs w:val="20"/>
        </w:rPr>
        <w:t xml:space="preserve"> </w:t>
      </w:r>
      <w:r>
        <w:rPr>
          <w:rFonts w:hint="eastAsia"/>
          <w:sz w:val="20"/>
          <w:szCs w:val="20"/>
        </w:rPr>
        <w:t>得球腕相对姿态</w:t>
      </w:r>
    </w:p>
    <w:tbl>
      <w:tblPr>
        <w:tblStyle w:val="10"/>
        <w:tblW w:w="4866" w:type="dxa"/>
        <w:tblCaption w:val="Equation 2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9E1C2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3C123D">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36</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03</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n</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o</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a</m:t>
                </m:r>
                <m:r>
                  <m:rPr>
                    <m:sty m:val="p"/>
                  </m:rPr>
                  <w:rPr>
                    <w:rFonts w:ascii="Cambria Math" w:hAnsi="Cambria Math" w:eastAsia="Cambria Math" w:cs="Cambria Math"/>
                    <w:sz w:val="18"/>
                    <w:szCs w:val="18"/>
                  </w:rPr>
                  <m:t>].</m:t>
                </m:r>
              </m:oMath>
            </m:oMathPara>
          </w:p>
        </w:tc>
        <w:tc>
          <w:tcPr>
            <w:tcW w:w="390" w:type="dxa"/>
            <w:vAlign w:val="center"/>
          </w:tcPr>
          <w:p w14:paraId="657A54A5">
            <w:pPr>
              <w:numPr>
                <w:ilvl w:val="0"/>
                <w:numId w:val="0"/>
              </w:numPr>
              <w:snapToGrid w:val="0"/>
              <w:jc w:val="right"/>
              <w:rPr>
                <w:sz w:val="16"/>
              </w:rPr>
            </w:pPr>
            <w:r>
              <w:rPr>
                <w:sz w:val="16"/>
                <w:szCs w:val="16"/>
              </w:rPr>
              <w:t>(22)</w:t>
            </w:r>
          </w:p>
        </w:tc>
      </w:tr>
    </w:tbl>
    <w:p w14:paraId="2DF1DB83">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n</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z</m:t>
            </m:r>
          </m:sub>
        </m:sSub>
      </m:oMath>
      <w:r>
        <w:rPr>
          <w:sz w:val="20"/>
          <w:szCs w:val="20"/>
        </w:rPr>
        <w:t xml:space="preserve"> </w:t>
      </w:r>
      <w:r>
        <w:rPr>
          <w:rFonts w:hint="eastAsia"/>
          <w:sz w:val="20"/>
          <w:szCs w:val="20"/>
        </w:rPr>
        <w:t>为各列矢量的相应分量，腕部关节角满足</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hint="eastAsia"/>
          <w:sz w:val="20"/>
          <w:szCs w:val="20"/>
        </w:rPr>
        <w:t>，</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5</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6</m:t>
        </m:r>
      </m:oMath>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sz w:val="20"/>
          <w:szCs w:val="20"/>
        </w:rPr>
        <w:t xml:space="preserve"> </w:t>
      </w:r>
      <w:r>
        <w:rPr>
          <w:rFonts w:hint="eastAsia"/>
          <w:sz w:val="20"/>
          <w:szCs w:val="20"/>
        </w:rPr>
        <w:t>为零位偏置。按报告的球腕坐标约定，在</w:t>
      </w:r>
      <w:r>
        <w:rPr>
          <w:sz w:val="20"/>
          <w:szCs w:val="20"/>
        </w:rPr>
        <w:t xml:space="preserve"> </w:t>
      </w:r>
      <m:oMath>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5</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 xml:space="preserve"> </w:t>
      </w:r>
      <w:r>
        <w:rPr>
          <w:rFonts w:hint="eastAsia"/>
          <w:sz w:val="20"/>
          <w:szCs w:val="20"/>
        </w:rPr>
        <w:t>时，匹配旋转矩阵元素可得</w:t>
      </w:r>
    </w:p>
    <w:tbl>
      <w:tblPr>
        <w:tblStyle w:val="10"/>
        <w:tblW w:w="4866" w:type="dxa"/>
        <w:tblCaption w:val="Equation 2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980A0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822B47F">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=±arccos(−</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6</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a</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n</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qArr>
              </m:oMath>
            </m:oMathPara>
          </w:p>
        </w:tc>
        <w:tc>
          <w:tcPr>
            <w:tcW w:w="390" w:type="dxa"/>
            <w:vAlign w:val="center"/>
          </w:tcPr>
          <w:p w14:paraId="3071FD52">
            <w:pPr>
              <w:numPr>
                <w:ilvl w:val="0"/>
                <w:numId w:val="0"/>
              </w:numPr>
              <w:snapToGrid w:val="0"/>
              <w:jc w:val="right"/>
              <w:rPr>
                <w:sz w:val="16"/>
              </w:rPr>
            </w:pPr>
            <w:r>
              <w:rPr>
                <w:sz w:val="16"/>
                <w:szCs w:val="16"/>
              </w:rPr>
              <w:t>(23)</w:t>
            </w:r>
          </w:p>
        </w:tc>
      </w:tr>
    </w:tbl>
    <w:p w14:paraId="6BDBEFC2">
      <w:pPr>
        <w:pStyle w:val="7"/>
        <w:numPr>
          <w:ilvl w:val="0"/>
          <w:numId w:val="0"/>
        </w:numPr>
        <w:snapToGrid w:val="0"/>
        <w:rPr>
          <w:sz w:val="20"/>
        </w:rPr>
      </w:pPr>
      <w:r>
        <w:rPr>
          <w:rFonts w:hint="eastAsia"/>
          <w:sz w:val="20"/>
          <w:szCs w:val="20"/>
        </w:rPr>
        <w:t>对候选解进行位姿回代及关节限位检查，选择与上一时刻关节角最接近的可行分支；不可达目标或奇异位形不直接使用上述逆解。</w:t>
      </w:r>
    </w:p>
    <w:bookmarkEnd w:id="14"/>
    <w:p w14:paraId="5216BD38">
      <w:pPr>
        <w:pStyle w:val="3"/>
        <w:numPr>
          <w:ilvl w:val="1"/>
          <w:numId w:val="0"/>
        </w:numPr>
        <w:snapToGrid w:val="0"/>
      </w:pPr>
      <w:bookmarkStart w:id="15" w:name="d.-delta-遥操作控制器"/>
      <w:r>
        <w:t xml:space="preserve">D. Delta </w:t>
      </w:r>
      <w:r>
        <w:rPr>
          <w:rFonts w:hint="eastAsia"/>
        </w:rPr>
        <w:t>遥操作控制器</w:t>
      </w:r>
    </w:p>
    <w:p w14:paraId="272A16D0">
      <w:pPr>
        <w:pStyle w:val="4"/>
        <w:numPr>
          <w:ilvl w:val="2"/>
          <w:numId w:val="0"/>
        </w:numPr>
        <w:snapToGrid w:val="0"/>
      </w:pPr>
      <w:bookmarkStart w:id="16" w:name="构型与正运动学"/>
      <w:r>
        <w:t xml:space="preserve">1) </w:t>
      </w:r>
      <w:r>
        <w:rPr>
          <w:rFonts w:hint="eastAsia"/>
        </w:rPr>
        <w:t>构型与正运动学</w:t>
      </w:r>
    </w:p>
    <w:p w14:paraId="3C6B6602">
      <w:pPr>
        <w:pStyle w:val="7"/>
        <w:numPr>
          <w:ilvl w:val="0"/>
          <w:numId w:val="0"/>
        </w:numPr>
        <w:snapToGrid w:val="0"/>
        <w:rPr>
          <w:sz w:val="20"/>
        </w:rPr>
      </w:pPr>
      <w:r>
        <w:rPr>
          <w:rFonts w:hint="eastAsia"/>
          <w:sz w:val="20"/>
          <w:szCs w:val="20"/>
        </w:rPr>
        <w:t>主端采用三支链</w:t>
      </w:r>
      <w:r>
        <w:rPr>
          <w:sz w:val="20"/>
          <w:szCs w:val="20"/>
        </w:rPr>
        <w:t xml:space="preserve"> Delta </w:t>
      </w:r>
      <w:r>
        <w:rPr>
          <w:rFonts w:hint="eastAsia"/>
          <w:sz w:val="20"/>
          <w:szCs w:val="20"/>
        </w:rPr>
        <w:t>并联机构实现三维平移，并在动平台上安装三个带编码器的转动关节输入姿态。平行四边形从动臂约束动平台相对静平台保持平行，从而将位置输入与姿态输入分开。主端碳纤维板承担主要结构载荷，手柄与部分平台采用三维打印件，并设置位置重置按钮</w:t>
      </w:r>
      <w:r>
        <w:rPr>
          <w:sz w:val="20"/>
          <w:szCs w:val="20"/>
        </w:rPr>
        <w:t xml:space="preserve"> [5]。Fig. 8 </w:t>
      </w:r>
      <w:r>
        <w:rPr>
          <w:rFonts w:hint="eastAsia"/>
          <w:sz w:val="20"/>
          <w:szCs w:val="20"/>
        </w:rPr>
        <w:t>给出 Delta 机构、三轴手柄及转轴标注，几何参数列于</w:t>
      </w:r>
      <w:r>
        <w:rPr>
          <w:sz w:val="20"/>
          <w:szCs w:val="20"/>
        </w:rPr>
        <w:t xml:space="preserve"> TABLE II。</w:t>
      </w:r>
    </w:p>
    <w:p w14:paraId="34E67E34">
      <w:pPr>
        <w:keepNext/>
        <w:keepLines/>
        <w:numPr>
          <w:numId w:val="0"/>
        </w:numPr>
        <w:snapToGrid w:val="0"/>
        <w:spacing w:before="60" w:after="60" w:line="240" w:lineRule="auto"/>
        <w:ind w:left="0" w:right="0" w:firstLine="0"/>
        <w:jc w:val="center"/>
      </w:pPr>
      <w:r>
        <w:drawing>
          <wp:inline distT="0" distB="0" distL="0" distR="0">
            <wp:extent cx="3060000" cy="2040000"/>
            <wp:docPr id="29" name="Fig. 8" descr="Delta 平移机构与三轴姿态手柄的机构、转轴和平行约束示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teleoperation_master_annotated.png"/>
                    <pic:cNvPicPr>
                      <a:picLocks noChangeAspect="1"/>
                    </pic:cNvPicPr>
                  </pic:nvPicPr>
                  <pic:blipFill>
                    <a:blip r:embed="rId13"/>
                    <a:stretch>
                      <a:fillRect/>
                    </a:stretch>
                  </pic:blipFill>
                  <pic:spPr>
                    <a:xfrm>
                      <a:off x="0" y="0"/>
                      <a:ext cx="3060000" cy="2040000"/>
                    </a:xfrm>
                    <a:prstGeom prst="rect">
                      <a:avLst/>
                    </a:prstGeom>
                  </pic:spPr>
                </pic:pic>
              </a:graphicData>
            </a:graphic>
          </wp:inline>
        </w:drawing>
      </w:r>
    </w:p>
    <w:p w14:paraId="6B1D5471">
      <w:pPr>
        <w:pStyle w:val="18"/>
        <w:numPr>
          <w:ilvl w:val="0"/>
          <w:numId w:val="0"/>
        </w:numPr>
        <w:snapToGrid w:val="0"/>
      </w:pPr>
      <w:r>
        <w:rPr>
          <w:iCs/>
        </w:rPr>
        <w:t xml:space="preserve">Fig. 8. </w:t>
      </w:r>
      <w:r>
        <w:rPr>
          <w:rFonts w:hint="eastAsia"/>
          <w:iCs/>
        </w:rPr>
        <w:t>遥操作主手结构与转轴示意。（a）Delta 平移机构，黄色闭合轮廓突出显示一组平行四边形从动臂；三支链共同约束动平台始终与静平台保持平行。（b）三轴姿态手柄，按安装端至握持端依次标出三个转动关节。红色点划线表示转轴中心线，蓝色标记表示平台平行关系。</w:t>
      </w:r>
    </w:p>
    <w:p w14:paraId="416DC73D">
      <w:pPr>
        <w:pStyle w:val="7"/>
        <w:numPr>
          <w:ilvl w:val="0"/>
          <w:numId w:val="0"/>
        </w:numPr>
        <w:snapToGrid w:val="0"/>
        <w:rPr>
          <w:sz w:val="20"/>
        </w:rPr>
      </w:pPr>
      <w:r>
        <w:rPr>
          <w:rFonts w:hint="eastAsia"/>
          <w:sz w:val="20"/>
          <w:szCs w:val="20"/>
        </w:rPr>
        <w:t>静平台坐标系</w:t>
      </w:r>
      <w:r>
        <w:rPr>
          <w:sz w:val="20"/>
          <w:szCs w:val="20"/>
        </w:rPr>
        <w:t xml:space="preserve"> </w:t>
      </w:r>
      <m:oMath>
        <m:r>
          <m:rPr>
            <m:sty m:val="p"/>
          </m:rPr>
          <w:rPr>
            <w:rFonts w:ascii="Cambria Math" w:hAnsi="Cambria Math" w:eastAsia="Cambria Math" w:cs="Cambria Math"/>
            <w:sz w:val="20"/>
            <w:szCs w:val="20"/>
          </w:rPr>
          <m:t>{D}</m:t>
        </m:r>
      </m:oMath>
      <w:r>
        <w:rPr>
          <w:sz w:val="20"/>
          <w:szCs w:val="20"/>
        </w:rPr>
        <w:t xml:space="preserve"> </w:t>
      </w:r>
      <w:r>
        <w:rPr>
          <w:rFonts w:hint="eastAsia"/>
          <w:sz w:val="20"/>
          <w:szCs w:val="20"/>
        </w:rPr>
        <w:t>的</w:t>
      </w:r>
      <w:r>
        <w:rPr>
          <w:sz w:val="20"/>
          <w:szCs w:val="20"/>
        </w:rPr>
        <w:t xml:space="preserve"> </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轴向上，工作侧为</w:t>
      </w:r>
      <w:r>
        <w:rPr>
          <w:sz w:val="20"/>
          <w:szCs w:val="20"/>
        </w:rPr>
        <w:t xml:space="preserve"> </w:t>
      </w:r>
      <m:oMath>
        <m:r>
          <m:rPr/>
          <w:rPr>
            <w:rFonts w:ascii="Cambria Math" w:hAnsi="Cambria Math" w:eastAsia="Cambria Math" w:cs="Cambria Math"/>
            <w:sz w:val="20"/>
            <w:szCs w:val="20"/>
          </w:rPr>
          <m:t>z</m:t>
        </m:r>
        <m:r>
          <m:rPr>
            <m:sty m:val="p"/>
          </m:rPr>
          <w:rPr>
            <w:rFonts w:ascii="Cambria Math" w:hAnsi="Cambria Math" w:eastAsia="Cambria Math" w:cs="Cambria Math"/>
            <w:sz w:val="20"/>
            <w:szCs w:val="20"/>
          </w:rPr>
          <m:t>&lt;</m:t>
        </m:r>
        <m:r>
          <m:rPr/>
          <w:rPr>
            <w:rFonts w:ascii="Cambria Math" w:hAnsi="Cambria Math" w:eastAsia="Cambria Math" w:cs="Cambria Math"/>
            <w:sz w:val="20"/>
            <w:szCs w:val="20"/>
          </w:rPr>
          <m:t>0</m:t>
        </m:r>
      </m:oMath>
      <w:r>
        <w:rPr>
          <w:rFonts w:hint="eastAsia"/>
          <w:sz w:val="20"/>
          <w:szCs w:val="20"/>
        </w:rPr>
        <w:t>。静、动平台连接点分布圆半径分别记为</w:t>
      </w:r>
      <w:r>
        <w:rPr>
          <w:sz w:val="20"/>
          <w:szCs w:val="20"/>
        </w:rPr>
        <w:t xml:space="preserve"> </w:t>
      </w:r>
      <m:oMath>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oMath>
      <w:r>
        <w:rPr>
          <w:rFonts w:hint="eastAsia"/>
          <w:sz w:val="20"/>
          <w:szCs w:val="20"/>
        </w:rPr>
        <w:t>，主动臂和从动臂长度为</w:t>
      </w:r>
      <w:r>
        <w:rPr>
          <w:sz w:val="20"/>
          <w:szCs w:val="20"/>
        </w:rPr>
        <w:t xml:space="preserve"> </w:t>
      </w:r>
      <m:oMath>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P</m:t>
            </m:r>
          </m:sub>
        </m:sSub>
      </m:oMath>
      <w:r>
        <w:rPr>
          <w:rFonts w:hint="eastAsia"/>
          <w:sz w:val="20"/>
          <w:szCs w:val="20"/>
        </w:rPr>
        <w:t>。三支链方位角为</w:t>
      </w:r>
      <w:r>
        <w:rPr>
          <w:sz w:val="20"/>
          <w:szCs w:val="20"/>
        </w:rPr>
        <w:t xml:space="preserve"> </w:t>
      </w:r>
      <m:oMath>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oMath>
      <w:r>
        <w:rPr>
          <w:rFonts w:hint="eastAsia"/>
          <w:sz w:val="20"/>
          <w:szCs w:val="20"/>
        </w:rPr>
        <w:t>，径向单位矢量为</w:t>
      </w:r>
      <w:r>
        <w:rPr>
          <w:sz w:val="20"/>
          <w:szCs w:val="20"/>
        </w:rPr>
        <w:t xml:space="preserve"> </w:t>
      </w:r>
      <m:oMath>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。主动臂角</w:t>
      </w:r>
      <w:r>
        <w:rPr>
          <w:sz w:val="20"/>
          <w:szCs w:val="20"/>
        </w:rPr>
        <w:t xml:space="preserve"> </w:t>
      </w:r>
      <m:oMath>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从水平向外方向起算，朝负</w:t>
      </w:r>
      <w:r>
        <w:rPr>
          <w:sz w:val="20"/>
          <w:szCs w:val="20"/>
        </w:rPr>
        <w:t xml:space="preserve"> </w:t>
      </w:r>
      <m:oMath>
        <m:r>
          <m:rPr/>
          <w:rPr>
            <w:rFonts w:ascii="Cambria Math" w:hAnsi="Cambria Math" w:eastAsia="Cambria Math" w:cs="Cambria Math"/>
            <w:sz w:val="20"/>
            <w:szCs w:val="20"/>
          </w:rPr>
          <m:t>z</m:t>
        </m:r>
      </m:oMath>
      <w:r>
        <w:rPr>
          <w:sz w:val="20"/>
          <w:szCs w:val="20"/>
        </w:rPr>
        <w:t xml:space="preserve"> </w:t>
      </w:r>
      <w:r>
        <w:rPr>
          <w:rFonts w:hint="eastAsia"/>
          <w:sz w:val="20"/>
          <w:szCs w:val="20"/>
        </w:rPr>
        <w:t>工作侧转动为正。</w:t>
      </w:r>
    </w:p>
    <w:p w14:paraId="7A9AE054">
      <w:pPr>
        <w:pStyle w:val="28"/>
        <w:keepNext/>
        <w:numPr>
          <w:ilvl w:val="0"/>
          <w:numId w:val="0"/>
        </w:numPr>
        <w:snapToGrid w:val="0"/>
      </w:pPr>
      <w:r>
        <w:rPr>
          <w:bCs/>
        </w:rPr>
        <w:t xml:space="preserve">TABLE II. Delta </w:t>
      </w:r>
      <w:r>
        <w:rPr>
          <w:rFonts w:hint="eastAsia"/>
          <w:bCs/>
        </w:rPr>
        <w:t>主端几何参数（来自机械设计资料</w:t>
      </w:r>
      <w:r>
        <w:rPr>
          <w:bCs/>
        </w:rPr>
        <w:t xml:space="preserve"> </w:t>
      </w:r>
      <w:r>
        <w:rPr>
          <w:rFonts w:hint="eastAsia"/>
          <w:bCs/>
        </w:rPr>
        <w:t>[5]）</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0D99D0AD">
        <w:tblPrEx>
          <w:tblCellMar>
            <w:top w:w="0" w:type="dxa"/>
            <w:left w:w="108" w:type="dxa"/>
            <w:bottom w:w="0" w:type="dxa"/>
            <w:right w:w="108" w:type="dxa"/>
          </w:tblCellMar>
        </w:tblPrEx>
        <w:trPr>
          <w:cantSplit/>
          <w:tblHeader/>
        </w:trPr>
        <w:tc>
          <w:tcPr>
            <w:tcW w:w="1622" w:type="dxa"/>
          </w:tcPr>
          <w:p w14:paraId="3E6B0195">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73A680E0">
            <w:pPr>
              <w:pStyle w:val="24"/>
              <w:keepNext/>
              <w:numPr>
                <w:ilvl w:val="0"/>
                <w:numId w:val="0"/>
              </w:numPr>
              <w:snapToGrid w:val="0"/>
              <w:spacing w:before="0" w:after="0" w:line="240" w:lineRule="auto"/>
              <w:rPr>
                <w:sz w:val="16"/>
              </w:rPr>
            </w:pPr>
            <w:r>
              <w:rPr>
                <w:rFonts w:hint="eastAsia"/>
                <w:sz w:val="16"/>
                <w:szCs w:val="16"/>
              </w:rPr>
              <w:t>数值</w:t>
            </w:r>
          </w:p>
        </w:tc>
        <w:tc>
          <w:tcPr>
            <w:tcW w:w="1622" w:type="dxa"/>
          </w:tcPr>
          <w:p w14:paraId="6C937CEE">
            <w:pPr>
              <w:pStyle w:val="24"/>
              <w:keepNext/>
              <w:numPr>
                <w:ilvl w:val="0"/>
                <w:numId w:val="0"/>
              </w:numPr>
              <w:snapToGrid w:val="0"/>
              <w:spacing w:before="0" w:after="0" w:line="240" w:lineRule="auto"/>
              <w:rPr>
                <w:sz w:val="16"/>
              </w:rPr>
            </w:pPr>
            <w:r>
              <w:rPr>
                <w:rFonts w:hint="eastAsia"/>
                <w:sz w:val="16"/>
                <w:szCs w:val="16"/>
              </w:rPr>
              <w:t>含义</w:t>
            </w:r>
          </w:p>
        </w:tc>
      </w:tr>
      <w:tr w14:paraId="1A0847BB">
        <w:tblPrEx>
          <w:tblCellMar>
            <w:top w:w="0" w:type="dxa"/>
            <w:left w:w="108" w:type="dxa"/>
            <w:bottom w:w="0" w:type="dxa"/>
            <w:right w:w="108" w:type="dxa"/>
          </w:tblCellMar>
        </w:tblPrEx>
        <w:trPr>
          <w:cantSplit/>
        </w:trPr>
        <w:tc>
          <w:tcPr>
            <w:tcW w:w="1622" w:type="dxa"/>
          </w:tcPr>
          <w:p w14:paraId="7AE20E6F">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1B86A69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0.095 </m:t>
                </m:r>
                <m:r>
                  <m:rPr>
                    <m:sty m:val="p"/>
                  </m:rPr>
                  <w:rPr>
                    <w:rFonts w:ascii="Cambria Math" w:hAnsi="Cambria Math" w:eastAsia="Cambria Math" w:cs="Cambria Math"/>
                    <w:sz w:val="16"/>
                    <w:szCs w:val="16"/>
                  </w:rPr>
                  <m:t>m</m:t>
                </m:r>
              </m:oMath>
            </m:oMathPara>
          </w:p>
        </w:tc>
        <w:tc>
          <w:tcPr>
            <w:tcW w:w="1622" w:type="dxa"/>
          </w:tcPr>
          <w:p w14:paraId="2B191AC7">
            <w:pPr>
              <w:pStyle w:val="26"/>
              <w:keepNext/>
              <w:numPr>
                <w:ilvl w:val="0"/>
                <w:numId w:val="0"/>
              </w:numPr>
              <w:snapToGrid w:val="0"/>
              <w:spacing w:before="0" w:after="0" w:line="240" w:lineRule="auto"/>
              <w:rPr>
                <w:sz w:val="16"/>
              </w:rPr>
            </w:pPr>
            <w:r>
              <w:rPr>
                <w:rFonts w:hint="eastAsia"/>
                <w:sz w:val="16"/>
                <w:szCs w:val="16"/>
              </w:rPr>
              <w:t>静平台连接点分布圆半径</w:t>
            </w:r>
          </w:p>
        </w:tc>
      </w:tr>
      <w:tr w14:paraId="364FFBF3">
        <w:tblPrEx>
          <w:tblCellMar>
            <w:top w:w="0" w:type="dxa"/>
            <w:left w:w="108" w:type="dxa"/>
            <w:bottom w:w="0" w:type="dxa"/>
            <w:right w:w="108" w:type="dxa"/>
          </w:tblCellMar>
        </w:tblPrEx>
        <w:trPr>
          <w:cantSplit/>
        </w:trPr>
        <w:tc>
          <w:tcPr>
            <w:tcW w:w="1622" w:type="dxa"/>
          </w:tcPr>
          <w:p w14:paraId="3F02EEE3">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7AC11C12">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0.066 </m:t>
                </m:r>
                <m:r>
                  <m:rPr>
                    <m:sty m:val="p"/>
                  </m:rPr>
                  <w:rPr>
                    <w:rFonts w:ascii="Cambria Math" w:hAnsi="Cambria Math" w:eastAsia="Cambria Math" w:cs="Cambria Math"/>
                    <w:sz w:val="16"/>
                    <w:szCs w:val="16"/>
                  </w:rPr>
                  <m:t>m</m:t>
                </m:r>
              </m:oMath>
            </m:oMathPara>
          </w:p>
        </w:tc>
        <w:tc>
          <w:tcPr>
            <w:tcW w:w="1622" w:type="dxa"/>
          </w:tcPr>
          <w:p w14:paraId="1BB756C5">
            <w:pPr>
              <w:pStyle w:val="26"/>
              <w:keepNext/>
              <w:numPr>
                <w:ilvl w:val="0"/>
                <w:numId w:val="0"/>
              </w:numPr>
              <w:snapToGrid w:val="0"/>
              <w:spacing w:before="0" w:after="0" w:line="240" w:lineRule="auto"/>
              <w:rPr>
                <w:sz w:val="16"/>
              </w:rPr>
            </w:pPr>
            <w:r>
              <w:rPr>
                <w:rFonts w:hint="eastAsia"/>
                <w:sz w:val="16"/>
                <w:szCs w:val="16"/>
              </w:rPr>
              <w:t>动平台连接点分布圆半径</w:t>
            </w:r>
          </w:p>
        </w:tc>
      </w:tr>
      <w:tr w14:paraId="1283F46E">
        <w:trPr>
          <w:cantSplit/>
        </w:trPr>
        <w:tc>
          <w:tcPr>
            <w:tcW w:w="1622" w:type="dxa"/>
          </w:tcPr>
          <w:p w14:paraId="3733649A">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D</m:t>
                    </m:r>
                  </m:sub>
                </m:sSub>
              </m:oMath>
            </m:oMathPara>
          </w:p>
        </w:tc>
        <w:tc>
          <w:tcPr>
            <w:tcW w:w="1622" w:type="dxa"/>
          </w:tcPr>
          <w:p w14:paraId="0F648EC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0.150 </m:t>
                </m:r>
                <m:r>
                  <m:rPr>
                    <m:sty m:val="p"/>
                  </m:rPr>
                  <w:rPr>
                    <w:rFonts w:ascii="Cambria Math" w:hAnsi="Cambria Math" w:eastAsia="Cambria Math" w:cs="Cambria Math"/>
                    <w:sz w:val="16"/>
                    <w:szCs w:val="16"/>
                  </w:rPr>
                  <m:t>m</m:t>
                </m:r>
              </m:oMath>
            </m:oMathPara>
          </w:p>
        </w:tc>
        <w:tc>
          <w:tcPr>
            <w:tcW w:w="1622" w:type="dxa"/>
          </w:tcPr>
          <w:p w14:paraId="368D472B">
            <w:pPr>
              <w:pStyle w:val="26"/>
              <w:keepNext/>
              <w:numPr>
                <w:ilvl w:val="0"/>
                <w:numId w:val="0"/>
              </w:numPr>
              <w:snapToGrid w:val="0"/>
              <w:spacing w:before="0" w:after="0" w:line="240" w:lineRule="auto"/>
              <w:rPr>
                <w:sz w:val="16"/>
              </w:rPr>
            </w:pPr>
            <w:r>
              <w:rPr>
                <w:rFonts w:hint="eastAsia"/>
                <w:sz w:val="16"/>
                <w:szCs w:val="16"/>
              </w:rPr>
              <w:t>主动臂中心距</w:t>
            </w:r>
          </w:p>
        </w:tc>
      </w:tr>
      <w:tr w14:paraId="1D77C74A">
        <w:tblPrEx>
          <w:tblCellMar>
            <w:top w:w="0" w:type="dxa"/>
            <w:left w:w="108" w:type="dxa"/>
            <w:bottom w:w="0" w:type="dxa"/>
            <w:right w:w="108" w:type="dxa"/>
          </w:tblCellMar>
        </w:tblPrEx>
        <w:trPr>
          <w:cantSplit/>
        </w:trPr>
        <w:tc>
          <w:tcPr>
            <w:tcW w:w="1622" w:type="dxa"/>
          </w:tcPr>
          <w:p w14:paraId="43F3A4EF">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P</m:t>
                    </m:r>
                  </m:sub>
                </m:sSub>
              </m:oMath>
            </m:oMathPara>
          </w:p>
        </w:tc>
        <w:tc>
          <w:tcPr>
            <w:tcW w:w="1622" w:type="dxa"/>
          </w:tcPr>
          <w:p w14:paraId="2CD48247">
            <w:pPr>
              <w:pStyle w:val="26"/>
              <w:keepNext w:val="0"/>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0.200 </m:t>
                </m:r>
                <m:r>
                  <m:rPr>
                    <m:sty m:val="p"/>
                  </m:rPr>
                  <w:rPr>
                    <w:rFonts w:ascii="Cambria Math" w:hAnsi="Cambria Math" w:eastAsia="Cambria Math" w:cs="Cambria Math"/>
                    <w:sz w:val="16"/>
                    <w:szCs w:val="16"/>
                  </w:rPr>
                  <m:t>m</m:t>
                </m:r>
              </m:oMath>
            </m:oMathPara>
          </w:p>
        </w:tc>
        <w:tc>
          <w:tcPr>
            <w:tcW w:w="1622" w:type="dxa"/>
          </w:tcPr>
          <w:p w14:paraId="2D4C8BB4">
            <w:pPr>
              <w:pStyle w:val="26"/>
              <w:keepNext w:val="0"/>
              <w:numPr>
                <w:ilvl w:val="0"/>
                <w:numId w:val="0"/>
              </w:numPr>
              <w:snapToGrid w:val="0"/>
              <w:spacing w:before="0" w:after="0" w:line="240" w:lineRule="auto"/>
              <w:rPr>
                <w:sz w:val="16"/>
              </w:rPr>
            </w:pPr>
            <w:r>
              <w:rPr>
                <w:rFonts w:hint="eastAsia"/>
                <w:sz w:val="16"/>
                <w:szCs w:val="16"/>
              </w:rPr>
              <w:t>从动臂中心距</w:t>
            </w:r>
          </w:p>
        </w:tc>
      </w:tr>
    </w:tbl>
    <w:p w14:paraId="20B32C33">
      <w:pPr>
        <w:pStyle w:val="7"/>
        <w:numPr>
          <w:ilvl w:val="0"/>
          <w:numId w:val="0"/>
        </w:numPr>
        <w:snapToGrid w:val="0"/>
        <w:rPr>
          <w:sz w:val="20"/>
        </w:rPr>
      </w:pPr>
      <w:r>
        <w:rPr>
          <w:rFonts w:hint="eastAsia"/>
          <w:sz w:val="20"/>
          <w:szCs w:val="20"/>
        </w:rPr>
        <w:t>设动平台中心为</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，将动平台半径移入支链几何后，等效球心为</w:t>
      </w:r>
    </w:p>
    <w:tbl>
      <w:tblPr>
        <w:tblStyle w:val="10"/>
        <w:tblW w:w="4866" w:type="dxa"/>
        <w:tblCaption w:val="Equation 2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B4CE4CB">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B111D8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oMath>
            </m:oMathPara>
          </w:p>
        </w:tc>
        <w:tc>
          <w:tcPr>
            <w:tcW w:w="390" w:type="dxa"/>
            <w:vAlign w:val="center"/>
          </w:tcPr>
          <w:p w14:paraId="7BEA39E9">
            <w:pPr>
              <w:numPr>
                <w:ilvl w:val="0"/>
                <w:numId w:val="0"/>
              </w:numPr>
              <w:snapToGrid w:val="0"/>
              <w:jc w:val="right"/>
              <w:rPr>
                <w:sz w:val="16"/>
              </w:rPr>
            </w:pPr>
            <w:r>
              <w:rPr>
                <w:sz w:val="16"/>
                <w:szCs w:val="16"/>
              </w:rPr>
              <w:t>(24)</w:t>
            </w:r>
          </w:p>
        </w:tc>
      </w:tr>
    </w:tbl>
    <w:p w14:paraId="11D43FF1">
      <w:pPr>
        <w:pStyle w:val="7"/>
        <w:numPr>
          <w:ilvl w:val="0"/>
          <w:numId w:val="0"/>
        </w:numPr>
        <w:snapToGrid w:val="0"/>
        <w:rPr>
          <w:sz w:val="20"/>
        </w:rPr>
      </w:pPr>
      <w:r>
        <w:rPr>
          <w:rFonts w:hint="eastAsia"/>
          <w:sz w:val="20"/>
          <w:szCs w:val="20"/>
        </w:rPr>
        <w:t>从动臂等长约束给出三球交点方程</w:t>
      </w:r>
    </w:p>
    <w:tbl>
      <w:tblPr>
        <w:tblStyle w:val="10"/>
        <w:tblW w:w="4866" w:type="dxa"/>
        <w:tblCaption w:val="Equation 2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6C9E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3D2A6F4">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B1F614D">
            <w:pPr>
              <w:numPr>
                <w:ilvl w:val="0"/>
                <w:numId w:val="0"/>
              </w:numPr>
              <w:snapToGrid w:val="0"/>
              <w:jc w:val="right"/>
              <w:rPr>
                <w:sz w:val="16"/>
              </w:rPr>
            </w:pPr>
            <w:r>
              <w:rPr>
                <w:sz w:val="16"/>
                <w:szCs w:val="16"/>
              </w:rPr>
              <w:t>(25)</w:t>
            </w:r>
          </w:p>
        </w:tc>
      </w:tr>
    </w:tbl>
    <w:p w14:paraId="539906AA">
      <w:pPr>
        <w:pStyle w:val="7"/>
        <w:numPr>
          <w:ilvl w:val="0"/>
          <w:numId w:val="0"/>
        </w:numPr>
        <w:snapToGrid w:val="0"/>
        <w:rPr>
          <w:sz w:val="20"/>
        </w:rPr>
      </w:pPr>
      <w:r>
        <w:rPr>
          <w:rFonts w:hint="eastAsia"/>
          <w:sz w:val="20"/>
          <w:szCs w:val="20"/>
        </w:rPr>
        <w:t>第</w:t>
      </w:r>
      <w:r>
        <w:rPr>
          <w:sz w:val="20"/>
          <w:szCs w:val="20"/>
        </w:rPr>
        <w:t xml:space="preserve"> 2、3 </w:t>
      </w:r>
      <w:r>
        <w:rPr>
          <w:rFonts w:hint="eastAsia"/>
          <w:sz w:val="20"/>
          <w:szCs w:val="20"/>
        </w:rPr>
        <w:t>个方程分别减去第</w:t>
      </w:r>
      <w:r>
        <w:rPr>
          <w:sz w:val="20"/>
          <w:szCs w:val="20"/>
        </w:rPr>
        <w:t xml:space="preserve"> 1 </w:t>
      </w:r>
      <w:r>
        <w:rPr>
          <w:rFonts w:hint="eastAsia"/>
          <w:sz w:val="20"/>
          <w:szCs w:val="20"/>
        </w:rPr>
        <w:t>个方程，可消除二次项，得到</w:t>
      </w:r>
    </w:p>
    <w:tbl>
      <w:tblPr>
        <w:tblStyle w:val="10"/>
        <w:tblW w:w="4866" w:type="dxa"/>
        <w:tblCaption w:val="Equation 2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37B87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09D706C">
            <w:pPr>
              <w:pStyle w:val="17"/>
              <w:numPr>
                <w:ilvl w:val="0"/>
                <w:numId w:val="0"/>
              </w:numPr>
              <w:snapToGrid w:val="0"/>
              <w:spacing w:before="100" w:after="100" w:line="240" w:lineRule="auto"/>
              <w:ind w:left="0" w:right="0" w:firstLine="0"/>
              <w:jc w:val="center"/>
              <w:rPr>
                <w:sz w:val="18"/>
              </w:rPr>
            </w:pPr>
            <m:oMathPara>
              <m:oMathParaPr>
                <m:jc m:val="center"/>
              </m:oMathParaPr>
              <m:oMath>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862A03E">
            <w:pPr>
              <w:numPr>
                <w:ilvl w:val="0"/>
                <w:numId w:val="0"/>
              </w:numPr>
              <w:snapToGrid w:val="0"/>
              <w:jc w:val="right"/>
              <w:rPr>
                <w:sz w:val="16"/>
              </w:rPr>
            </w:pPr>
            <w:r>
              <w:rPr>
                <w:sz w:val="16"/>
                <w:szCs w:val="16"/>
              </w:rPr>
              <w:t>(26)</w:t>
            </w:r>
          </w:p>
        </w:tc>
      </w:tr>
    </w:tbl>
    <w:p w14:paraId="279C7784">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iz</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，定义</w:t>
      </w:r>
    </w:p>
    <w:tbl>
      <w:tblPr>
        <w:tblStyle w:val="10"/>
        <w:tblW w:w="4866" w:type="dxa"/>
        <w:tblCaption w:val="Equation 2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631283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0794A8D">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m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2</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3</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08D3979E">
            <w:pPr>
              <w:numPr>
                <w:ilvl w:val="0"/>
                <w:numId w:val="0"/>
              </w:numPr>
              <w:snapToGrid w:val="0"/>
              <w:jc w:val="right"/>
              <w:rPr>
                <w:sz w:val="16"/>
              </w:rPr>
            </w:pPr>
            <w:r>
              <w:rPr>
                <w:sz w:val="16"/>
                <w:szCs w:val="16"/>
              </w:rPr>
              <w:t>(27)</w:t>
            </w:r>
          </w:p>
        </w:tc>
      </w:tr>
    </w:tbl>
    <w:p w14:paraId="1132F1DA">
      <w:pPr>
        <w:pStyle w:val="7"/>
        <w:numPr>
          <w:ilvl w:val="0"/>
          <w:numId w:val="0"/>
        </w:numPr>
        <w:snapToGrid w:val="0"/>
        <w:rPr>
          <w:sz w:val="20"/>
        </w:rPr>
      </w:pPr>
      <w:r>
        <w:rPr>
          <w:rFonts w:hint="eastAsia"/>
          <w:sz w:val="20"/>
          <w:szCs w:val="20"/>
        </w:rPr>
        <w:t>在</w:t>
      </w:r>
      <w:r>
        <w:rPr>
          <w:sz w:val="20"/>
          <w:szCs w:val="20"/>
        </w:rPr>
        <w:t xml:space="preserve"> </w:t>
      </w:r>
      <m:oMath>
        <m:sSub>
          <m:sSub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可逆时，令</w:t>
      </w:r>
      <w:r>
        <w:rPr>
          <w:sz w:val="20"/>
          <w:szCs w:val="20"/>
        </w:rPr>
        <w:t xml:space="preserve"> </w:t>
      </w:r>
      <m:oMath>
        <m:r>
          <m:rPr>
            <m:sty m:val="bi"/>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D</m:t>
            </m:r>
          </m:sub>
        </m:sSub>
      </m:oMath>
      <w:r>
        <w:rPr>
          <w:sz w:val="20"/>
          <w:szCs w:val="20"/>
        </w:rPr>
        <w:t>、</w:t>
      </w:r>
      <m:oMath>
        <m:r>
          <m:rPr>
            <m:sty m:val="bi"/>
          </m:rPr>
          <w:rPr>
            <w:rFonts w:ascii="Cambria Math" w:hAnsi="Cambria Math" w:eastAsia="Cambria Math" w:cs="Cambria Math"/>
            <w:sz w:val="20"/>
            <w:szCs w:val="20"/>
          </w:rPr>
          <m:t>v</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D</m:t>
            </m:r>
          </m:sub>
        </m:sSub>
      </m:oMath>
      <w:r>
        <w:rPr>
          <w:rFonts w:hint="eastAsia"/>
          <w:sz w:val="20"/>
          <w:szCs w:val="20"/>
        </w:rPr>
        <w:t>，有</w:t>
      </w:r>
    </w:p>
    <w:tbl>
      <w:tblPr>
        <w:tblStyle w:val="10"/>
        <w:tblW w:w="4866" w:type="dxa"/>
        <w:tblCaption w:val="Equation 2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45985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59C5C">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D</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v</m:t>
                </m:r>
                <m:sSub>
                  <m:sSubPr/>
                  <m:e>
                    <m:r>
                      <m:rPr/>
                      <w:rPr>
                        <w:rFonts w:ascii="Cambria Math" w:hAnsi="Cambria Math" w:eastAsia="Cambria Math" w:cs="Cambria Math"/>
                        <w:sz w:val="18"/>
                        <w:szCs w:val="18"/>
                      </w:rPr>
                      <m:t>z</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4203B930">
            <w:pPr>
              <w:numPr>
                <w:ilvl w:val="0"/>
                <w:numId w:val="0"/>
              </w:numPr>
              <w:snapToGrid w:val="0"/>
              <w:jc w:val="right"/>
              <w:rPr>
                <w:sz w:val="16"/>
              </w:rPr>
            </w:pPr>
            <w:r>
              <w:rPr>
                <w:sz w:val="16"/>
                <w:szCs w:val="16"/>
              </w:rPr>
              <w:t>(28)</w:t>
            </w:r>
          </w:p>
        </w:tc>
      </w:tr>
    </w:tbl>
    <w:p w14:paraId="415E9CFE">
      <w:pPr>
        <w:pStyle w:val="7"/>
        <w:numPr>
          <w:ilvl w:val="0"/>
          <w:numId w:val="0"/>
        </w:numPr>
        <w:snapToGrid w:val="0"/>
        <w:rPr>
          <w:sz w:val="20"/>
        </w:rPr>
      </w:pPr>
      <w:r>
        <w:rPr>
          <w:rFonts w:hint="eastAsia"/>
          <w:sz w:val="20"/>
          <w:szCs w:val="20"/>
        </w:rPr>
        <w:t>代回第一球面，得到</w:t>
      </w:r>
      <w:r>
        <w:rPr>
          <w:sz w:val="20"/>
          <w:szCs w:val="20"/>
        </w:rPr>
        <w:t xml:space="preserve">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D</m:t>
            </m:r>
          </m:sub>
        </m:sSub>
        <m:sSubSup>
          <m:sSubSup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hint="eastAsia"/>
          <w:sz w:val="20"/>
          <w:szCs w:val="20"/>
        </w:rPr>
        <w:t>，其中</w:t>
      </w:r>
    </w:p>
    <w:tbl>
      <w:tblPr>
        <w:tblStyle w:val="10"/>
        <w:tblW w:w="4866" w:type="dxa"/>
        <w:tblCaption w:val="Equation 2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AB8EC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E35388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bi"/>
                      </m:rPr>
                      <w:rPr>
                        <w:rFonts w:ascii="Cambria Math" w:hAnsi="Cambria Math" w:eastAsia="Cambria Math" w:cs="Cambria Math"/>
                        <w:sz w:val="18"/>
                        <w:szCs w:val="18"/>
                      </w:rPr>
                      <m:t>v</m:t>
                    </m:r>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xy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C</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xy</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e>
                </m:eqArr>
              </m:oMath>
            </m:oMathPara>
          </w:p>
        </w:tc>
        <w:tc>
          <w:tcPr>
            <w:tcW w:w="390" w:type="dxa"/>
            <w:vAlign w:val="center"/>
          </w:tcPr>
          <w:p w14:paraId="6F8144C3">
            <w:pPr>
              <w:numPr>
                <w:ilvl w:val="0"/>
                <w:numId w:val="0"/>
              </w:numPr>
              <w:snapToGrid w:val="0"/>
              <w:jc w:val="right"/>
              <w:rPr>
                <w:sz w:val="16"/>
              </w:rPr>
            </w:pPr>
            <w:r>
              <w:rPr>
                <w:sz w:val="16"/>
                <w:szCs w:val="16"/>
              </w:rPr>
              <w:t>(29)</w:t>
            </w:r>
          </w:p>
        </w:tc>
      </w:tr>
    </w:tbl>
    <w:p w14:paraId="2BB35DD4">
      <w:pPr>
        <w:pStyle w:val="7"/>
        <w:numPr>
          <w:ilvl w:val="0"/>
          <w:numId w:val="0"/>
        </w:numPr>
        <w:snapToGrid w:val="0"/>
        <w:rPr>
          <w:sz w:val="20"/>
        </w:rPr>
      </w:pPr>
      <w:r>
        <w:rPr>
          <w:rFonts w:hint="eastAsia"/>
          <w:sz w:val="20"/>
          <w:szCs w:val="20"/>
        </w:rPr>
        <w:t>从二次方程候选根中选择满足工作侧、机构装配分支和连续性条件的根。矩阵退化或判别式显著小于零时不输出新位姿；不能仅以“负根”替代完整的几何有效性检查。</w:t>
      </w:r>
    </w:p>
    <w:bookmarkEnd w:id="16"/>
    <w:p w14:paraId="01EF466D">
      <w:pPr>
        <w:pStyle w:val="4"/>
        <w:numPr>
          <w:ilvl w:val="2"/>
          <w:numId w:val="0"/>
        </w:numPr>
        <w:snapToGrid w:val="0"/>
      </w:pPr>
      <w:bookmarkStart w:id="17" w:name="雅可比与力矩前馈"/>
      <w:r>
        <w:t xml:space="preserve">2) </w:t>
      </w:r>
      <w:r>
        <w:rPr>
          <w:rFonts w:hint="eastAsia"/>
        </w:rPr>
        <w:t>雅可比与力矩前馈</w:t>
      </w:r>
    </w:p>
    <w:p w14:paraId="519C5055">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s</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oMath>
      <w:r>
        <w:rPr>
          <w:rFonts w:hint="eastAsia"/>
          <w:sz w:val="20"/>
          <w:szCs w:val="20"/>
        </w:rPr>
        <w:t>。对支链约束求导，定义</w:t>
      </w:r>
    </w:p>
    <w:tbl>
      <w:tblPr>
        <w:tblStyle w:val="10"/>
        <w:tblW w:w="4866" w:type="dxa"/>
        <w:tblCaption w:val="Equation 3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C7DD6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DC688F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S</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e>
                          </m:m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2</m:t>
                                  </m:r>
                                </m:sub>
                                <m:sup>
                                  <m:r>
                                    <m:rPr>
                                      <m:sty m:val="p"/>
                                    </m:rPr>
                                    <w:rPr>
                                      <w:rFonts w:ascii="Cambria Math" w:hAnsi="Cambria Math" w:eastAsia="Cambria Math" w:cs="Cambria Math"/>
                                      <w:sz w:val="18"/>
                                      <w:szCs w:val="18"/>
                                    </w:rPr>
                                    <m:t>T</m:t>
                                  </m:r>
                                </m:sup>
                              </m:sSubSup>
                            </m:e>
                          </m:m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3</m:t>
                                  </m:r>
                                </m:sub>
                                <m:sup>
                                  <m:r>
                                    <m:rPr>
                                      <m:sty m:val="p"/>
                                    </m:rPr>
                                    <w:rPr>
                                      <w:rFonts w:ascii="Cambria Math" w:hAnsi="Cambria Math" w:eastAsia="Cambria Math" w:cs="Cambria Math"/>
                                      <w:sz w:val="18"/>
                                      <w:szCs w:val="18"/>
                                    </w:rPr>
                                    <m:t>T</m:t>
                                  </m:r>
                                </m:sup>
                              </m:sSubSup>
                            </m:e>
                          </m:mr>
                        </m:m>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=diag</m:t>
                    </m:r>
                    <m:r>
                      <m:rPr/>
                      <w:rPr>
                        <w:rFonts w:ascii="Cambria Math" w:hAnsi="Cambria Math" w:eastAsia="Cambria Math" w:cs="Cambria Math"/>
                        <w:sz w:val="18"/>
                        <w:szCs w:val="18"/>
                      </w:rPr>
                      <m:t>​</m:t>
                    </m:r>
                    <m:sSubSup>
                      <m:sSubSupPr/>
                      <m:e>
                        <m:d>
                          <m:dPr>
                            <m:sepChr m:val=""/>
                          </m:dP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f>
                              <m:fPr/>
                              <m:num>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num>
                              <m:den>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den>
                            </m:f>
                          </m:e>
                        </m:d>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3</m:t>
                        </m:r>
                      </m:sup>
                    </m:sSubSup>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S</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bSup>
                    <m:sSub>
                      <m:sSubPr/>
                      <m:e>
                        <m:r>
                          <m:rPr>
                            <m:sty m:val="b"/>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acc>
                          <m:accPr>
                            <m:chr m:val="̇"/>
                          </m:accPr>
                          <m:e>
                            <m:r>
                              <m:rPr>
                                <m:sty m:val="bi"/>
                              </m:rPr>
                              <w:rPr>
                                <w:rFonts w:ascii="Cambria Math" w:hAnsi="Cambria Math" w:eastAsia="Cambria Math" w:cs="Cambria Math"/>
                                <w:sz w:val="18"/>
                                <w:szCs w:val="18"/>
                              </w:rPr>
                              <m:t>p</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sSub>
                      <m:sSubPr/>
                      <m:e>
                        <m:acc>
                          <m:accPr>
                            <m:chr m:val="̇"/>
                          </m:accPr>
                          <m:e>
                            <m:r>
                              <m:rPr>
                                <m:sty m:val="bi"/>
                              </m:rPr>
                              <w:rPr>
                                <w:rFonts w:ascii="Cambria Math" w:hAnsi="Cambria Math" w:eastAsia="Cambria Math" w:cs="Cambria Math"/>
                                <w:sz w:val="18"/>
                                <w:szCs w:val="18"/>
                              </w:rPr>
                              <m:t>θ</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e>
                </m:eqArr>
              </m:oMath>
            </m:oMathPara>
          </w:p>
        </w:tc>
        <w:tc>
          <w:tcPr>
            <w:tcW w:w="390" w:type="dxa"/>
            <w:vAlign w:val="center"/>
          </w:tcPr>
          <w:p w14:paraId="38FE593A">
            <w:pPr>
              <w:numPr>
                <w:ilvl w:val="0"/>
                <w:numId w:val="0"/>
              </w:numPr>
              <w:snapToGrid w:val="0"/>
              <w:jc w:val="right"/>
              <w:rPr>
                <w:sz w:val="16"/>
              </w:rPr>
            </w:pPr>
            <w:r>
              <w:rPr>
                <w:sz w:val="16"/>
                <w:szCs w:val="16"/>
              </w:rPr>
              <w:t>(30)</w:t>
            </w:r>
          </w:p>
        </w:tc>
      </w:tr>
    </w:tbl>
    <w:p w14:paraId="75055430">
      <w:pPr>
        <w:pStyle w:val="7"/>
        <w:numPr>
          <w:ilvl w:val="0"/>
          <w:numId w:val="0"/>
        </w:numPr>
        <w:snapToGrid w:val="0"/>
        <w:rPr>
          <w:sz w:val="20"/>
        </w:rPr>
      </w:pPr>
      <w:r>
        <w:rPr>
          <w:rFonts w:hint="eastAsia"/>
          <w:sz w:val="20"/>
          <w:szCs w:val="20"/>
        </w:rPr>
        <w:t>此表达式要求</w:t>
      </w:r>
      <w:r>
        <w:rPr>
          <w:sz w:val="20"/>
          <w:szCs w:val="20"/>
        </w:rPr>
        <w:t xml:space="preserve"> </w:t>
      </w:r>
      <m:oMath>
        <m:sSub>
          <m:sSubPr/>
          <m:e>
            <m:r>
              <m:rPr>
                <m:sty m:val="b"/>
              </m:rPr>
              <w:rPr>
                <w:rFonts w:ascii="Cambria Math" w:hAnsi="Cambria Math" w:eastAsia="Cambria Math" w:cs="Cambria Math"/>
                <w:sz w:val="20"/>
                <w:szCs w:val="20"/>
              </w:rPr>
              <m:t>S</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可逆。静力学采用虚功原理：若机构对动平台提供的期望支撑力为</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oMath>
      <w:r>
        <w:rPr>
          <w:rFonts w:hint="eastAsia"/>
          <w:sz w:val="20"/>
          <w:szCs w:val="20"/>
        </w:rPr>
        <w:t>，对应电机广义力矩为</w:t>
      </w:r>
    </w:p>
    <w:tbl>
      <w:tblPr>
        <w:tblStyle w:val="10"/>
        <w:tblW w:w="4866" w:type="dxa"/>
        <w:tblCaption w:val="Equation 3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96780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3B54B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D,ff</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5A24F6C7">
            <w:pPr>
              <w:numPr>
                <w:ilvl w:val="0"/>
                <w:numId w:val="0"/>
              </w:numPr>
              <w:snapToGrid w:val="0"/>
              <w:jc w:val="right"/>
              <w:rPr>
                <w:sz w:val="16"/>
              </w:rPr>
            </w:pPr>
            <w:r>
              <w:rPr>
                <w:sz w:val="16"/>
                <w:szCs w:val="16"/>
              </w:rPr>
              <w:t>(31)</w:t>
            </w:r>
          </w:p>
        </w:tc>
      </w:tr>
    </w:tbl>
    <w:p w14:paraId="23750A0F">
      <w:pPr>
        <w:pStyle w:val="7"/>
        <w:numPr>
          <w:ilvl w:val="0"/>
          <w:numId w:val="0"/>
        </w:numPr>
        <w:snapToGrid w:val="0"/>
        <w:rPr>
          <w:sz w:val="20"/>
        </w:rPr>
      </w:pPr>
      <w:r>
        <w:rPr>
          <w:rFonts w:hint="eastAsia"/>
          <w:sz w:val="20"/>
          <w:szCs w:val="20"/>
        </w:rPr>
        <w:t>将动平台与手柄等效质量记为</w:t>
      </w:r>
      <w:r>
        <w:rPr>
          <w:sz w:val="20"/>
          <w:szCs w:val="20"/>
        </w:rPr>
        <w:t xml:space="preserve"> </w:t>
      </w:r>
      <m:oMath>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oMath>
      <w:r>
        <w:rPr>
          <w:rFonts w:hint="eastAsia"/>
          <w:sz w:val="20"/>
          <w:szCs w:val="20"/>
        </w:rPr>
        <w:t>，重力补偿取</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r>
          <m:rPr>
            <m:sty m:val="bi"/>
          </m:rPr>
          <w:rPr>
            <w:rFonts w:ascii="Cambria Math" w:hAnsi="Cambria Math" w:eastAsia="Cambria Math" w:cs="Cambria Math"/>
            <w:sz w:val="20"/>
            <w:szCs w:val="20"/>
          </w:rPr>
          <m:t>g</m:t>
        </m:r>
      </m:oMath>
      <w:r>
        <w:rPr>
          <w:rFonts w:hint="eastAsia"/>
          <w:sz w:val="20"/>
          <w:szCs w:val="20"/>
        </w:rPr>
        <w:t>，必要时另加各支链重力项。该方法用于降低手持机构的静态负担。摩擦、参数误差和机构奇异会影响补偿效果，近奇异区域应限制力矩和操作范围。报告提供了补偿效果演示，尚未提供残余手持力的测量。</w:t>
      </w:r>
    </w:p>
    <w:bookmarkEnd w:id="17"/>
    <w:p w14:paraId="4E78815B">
      <w:pPr>
        <w:pStyle w:val="4"/>
        <w:numPr>
          <w:ilvl w:val="2"/>
          <w:numId w:val="0"/>
        </w:numPr>
        <w:snapToGrid w:val="0"/>
      </w:pPr>
      <w:bookmarkStart w:id="18" w:name="位姿映射与底盘补偿"/>
      <w:r>
        <w:t xml:space="preserve">3) </w:t>
      </w:r>
      <w:r>
        <w:rPr>
          <w:rFonts w:hint="eastAsia"/>
        </w:rPr>
        <w:t>位姿映射与底盘补偿</w:t>
      </w:r>
    </w:p>
    <w:p w14:paraId="0CF8E7EC">
      <w:pPr>
        <w:pStyle w:val="7"/>
        <w:numPr>
          <w:ilvl w:val="0"/>
          <w:numId w:val="0"/>
        </w:numPr>
        <w:snapToGrid w:val="0"/>
        <w:rPr>
          <w:sz w:val="20"/>
        </w:rPr>
      </w:pPr>
      <w:r>
        <w:rPr>
          <w:rFonts w:hint="eastAsia"/>
          <w:sz w:val="20"/>
          <w:szCs w:val="20"/>
        </w:rPr>
        <w:t>主端初始化时记录平移零点</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0</m:t>
            </m:r>
          </m:sub>
        </m:sSub>
      </m:oMath>
      <w:r>
        <w:rPr>
          <w:sz w:val="20"/>
          <w:szCs w:val="20"/>
        </w:rPr>
        <w:t xml:space="preserve"> </w:t>
      </w:r>
      <w:r>
        <w:rPr>
          <w:rFonts w:hint="eastAsia"/>
          <w:sz w:val="20"/>
          <w:szCs w:val="20"/>
        </w:rPr>
        <w:t>与从端参考点</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0</m:t>
            </m:r>
          </m:sub>
        </m:sSub>
      </m:oMath>
      <w:r>
        <w:rPr>
          <w:rFonts w:hint="eastAsia"/>
          <w:sz w:val="20"/>
          <w:szCs w:val="20"/>
        </w:rPr>
        <w:t>，经坐标对齐后的主从位置映射为</w:t>
      </w:r>
    </w:p>
    <w:tbl>
      <w:tblPr>
        <w:tblStyle w:val="10"/>
        <w:tblW w:w="4866" w:type="dxa"/>
        <w:tblCaption w:val="Equation 3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03EF2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61CA9263">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map</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oMath>
            </m:oMathPara>
          </w:p>
        </w:tc>
        <w:tc>
          <w:tcPr>
            <w:tcW w:w="390" w:type="dxa"/>
            <w:vAlign w:val="center"/>
          </w:tcPr>
          <w:p w14:paraId="39CB4922">
            <w:pPr>
              <w:numPr>
                <w:ilvl w:val="0"/>
                <w:numId w:val="0"/>
              </w:numPr>
              <w:snapToGrid w:val="0"/>
              <w:jc w:val="right"/>
              <w:rPr>
                <w:sz w:val="16"/>
              </w:rPr>
            </w:pPr>
            <w:r>
              <w:rPr>
                <w:sz w:val="16"/>
                <w:szCs w:val="16"/>
              </w:rPr>
              <w:t>(32)</w:t>
            </w:r>
          </w:p>
        </w:tc>
      </w:tr>
    </w:tbl>
    <w:p w14:paraId="27CBECC9">
      <w:pPr>
        <w:pStyle w:val="7"/>
        <w:numPr>
          <w:ilvl w:val="0"/>
          <w:numId w:val="0"/>
        </w:numPr>
        <w:snapToGrid w:val="0"/>
        <w:rPr>
          <w:sz w:val="20"/>
        </w:rPr>
      </w:pPr>
      <w:r>
        <w:rPr>
          <w:rFonts w:hint="eastAsia"/>
          <w:sz w:val="20"/>
          <w:szCs w:val="20"/>
        </w:rPr>
        <w:t>其中</w:t>
      </w:r>
      <w:r>
        <w:rPr>
          <w:sz w:val="20"/>
          <w:szCs w:val="20"/>
        </w:rPr>
        <w:t xml:space="preserve">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sz w:val="20"/>
          <w:szCs w:val="20"/>
        </w:rPr>
        <w:t xml:space="preserve"> </w:t>
      </w:r>
      <w:r>
        <w:rPr>
          <w:rFonts w:hint="eastAsia"/>
          <w:sz w:val="20"/>
          <w:szCs w:val="20"/>
        </w:rPr>
        <w:t>为固定坐标校准旋转，</w:t>
      </w:r>
      <m:oMath>
        <m:sSub>
          <m:sSubPr/>
          <m:e>
            <m:r>
              <m:rPr>
                <m:sty m:val="b"/>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map</m:t>
            </m:r>
          </m:sub>
        </m:sSub>
        <m:r>
          <m:rPr>
            <m:sty m:val="p"/>
          </m:rPr>
          <w:rPr>
            <w:rFonts w:ascii="Cambria Math" w:hAnsi="Cambria Math" w:eastAsia="Cambria Math" w:cs="Cambria Math"/>
            <w:sz w:val="20"/>
            <w:szCs w:val="20"/>
          </w:rPr>
          <m:t>=diag(</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为无量纲缩放矩阵。较小缩放系数可减小从端对手部位移的响应，但不能消除机械误差。重置按钮更新参考点时，应保持从端目标连续。</w:t>
      </w:r>
    </w:p>
    <w:p w14:paraId="39B0740A">
      <w:pPr>
        <w:pStyle w:val="7"/>
        <w:numPr>
          <w:ilvl w:val="0"/>
          <w:numId w:val="0"/>
        </w:numPr>
        <w:snapToGrid w:val="0"/>
        <w:rPr>
          <w:sz w:val="20"/>
        </w:rPr>
      </w:pPr>
      <w:r>
        <w:rPr>
          <w:rFonts w:hint="eastAsia"/>
          <w:sz w:val="20"/>
          <w:szCs w:val="20"/>
        </w:rPr>
        <w:t>姿态手柄的三个编码器角记为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h</m:t>
            </m:r>
          </m:sub>
        </m:sSub>
      </m:oMath>
      <w:r>
        <w:rPr>
          <w:rFonts w:hint="eastAsia"/>
          <w:sz w:val="20"/>
          <w:szCs w:val="20"/>
        </w:rPr>
        <w:t>，根据其真实串联转轴顺序求得</w:t>
      </w:r>
      <w:r>
        <w:rPr>
          <w:sz w:val="20"/>
          <w:szCs w:val="20"/>
        </w:rPr>
        <w:t xml:space="preserve">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oMath>
      <w:r>
        <w:rPr>
          <w:rFonts w:hint="eastAsia"/>
          <w:sz w:val="20"/>
          <w:szCs w:val="20"/>
        </w:rPr>
        <w:t>，再施加固定安装变换：</w:t>
      </w:r>
    </w:p>
    <w:tbl>
      <w:tblPr>
        <w:tblStyle w:val="10"/>
        <w:tblW w:w="4866" w:type="dxa"/>
        <w:tblCaption w:val="Equation 3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64C666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452D40C">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cal,</m:t>
                    </m:r>
                    <m:r>
                      <m:rPr/>
                      <w:rPr>
                        <w:rFonts w:ascii="Cambria Math" w:hAnsi="Cambria Math" w:eastAsia="Cambria Math" w:cs="Cambria Math"/>
                        <w:sz w:val="18"/>
                        <w:szCs w:val="18"/>
                      </w:rPr>
                      <m:t>1</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cal,</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oMath>
            </m:oMathPara>
          </w:p>
        </w:tc>
        <w:tc>
          <w:tcPr>
            <w:tcW w:w="390" w:type="dxa"/>
            <w:vAlign w:val="center"/>
          </w:tcPr>
          <w:p w14:paraId="36F9BD1D">
            <w:pPr>
              <w:numPr>
                <w:ilvl w:val="0"/>
                <w:numId w:val="0"/>
              </w:numPr>
              <w:snapToGrid w:val="0"/>
              <w:jc w:val="right"/>
              <w:rPr>
                <w:sz w:val="16"/>
              </w:rPr>
            </w:pPr>
            <w:r>
              <w:rPr>
                <w:sz w:val="16"/>
                <w:szCs w:val="16"/>
              </w:rPr>
              <w:t>(33)</w:t>
            </w:r>
          </w:p>
        </w:tc>
      </w:tr>
    </w:tbl>
    <w:p w14:paraId="0BF1969F">
      <w:pPr>
        <w:pStyle w:val="7"/>
        <w:numPr>
          <w:ilvl w:val="0"/>
          <w:numId w:val="0"/>
        </w:numPr>
        <w:snapToGrid w:val="0"/>
        <w:rPr>
          <w:sz w:val="20"/>
        </w:rPr>
      </w:pPr>
      <w:r>
        <w:rPr>
          <w:rFonts w:hint="eastAsia"/>
          <w:sz w:val="20"/>
          <w:szCs w:val="20"/>
        </w:rPr>
        <w:t>编码器角不能未经变换就当作从端的滚转、俯仰、偏航角。报告将旋转矩阵转换为欧拉角传输，接收端需采用一致的旋转顺序和角度环绕处理。位置与姿态组成目标齐次变换后，再进入机械臂解析逆解。</w:t>
      </w:r>
    </w:p>
    <w:p w14:paraId="4BCDE9C3">
      <w:pPr>
        <w:pStyle w:val="7"/>
        <w:numPr>
          <w:ilvl w:val="0"/>
          <w:numId w:val="0"/>
        </w:numPr>
        <w:snapToGrid w:val="0"/>
        <w:rPr>
          <w:sz w:val="20"/>
        </w:rPr>
      </w:pPr>
      <w:r>
        <w:rPr>
          <w:rFonts w:hint="eastAsia"/>
          <w:sz w:val="20"/>
          <w:szCs w:val="20"/>
        </w:rPr>
        <w:t>当目标超过机械臂设定的水平操作区间时，报告采用末端位置限幅和底盘平移补偿。设</w:t>
      </w:r>
      <w:r>
        <w:rPr>
          <w:sz w:val="20"/>
          <w:szCs w:val="20"/>
        </w:rPr>
        <w:t xml:space="preserve"> </w:t>
      </w:r>
      <m:oMath>
        <m:sSub>
          <m:sSubPr/>
          <m:e>
            <m:r>
              <m:rPr>
                <m:sty m:val="p"/>
              </m:rPr>
              <w:rPr>
                <w:rFonts w:ascii="Cambria Math" w:hAnsi="Cambria Math" w:eastAsia="Cambria Math" w:cs="Cambria Math"/>
                <w:sz w:val="20"/>
                <w:szCs w:val="20"/>
              </w:rPr>
              <m:t>Π</m:t>
            </m:r>
          </m:e>
          <m:sub>
            <m:r>
              <m:rPr>
                <m:sty m:val="p"/>
                <m:scr m:val="script"/>
              </m:rPr>
              <w:rPr>
                <w:rFonts w:ascii="Cambria Math" w:hAnsi="Cambria Math" w:eastAsia="Cambria Math" w:cs="Cambria Math"/>
                <w:sz w:val="20"/>
                <w:szCs w:val="20"/>
              </w:rPr>
              <m:t>ℬ</m:t>
            </m:r>
          </m:sub>
        </m:sSub>
      </m:oMath>
      <w:r>
        <w:rPr>
          <w:sz w:val="20"/>
          <w:szCs w:val="20"/>
        </w:rPr>
        <w:t xml:space="preserve"> </w:t>
      </w:r>
      <w:r>
        <w:rPr>
          <w:rFonts w:hint="eastAsia"/>
          <w:sz w:val="20"/>
          <w:szCs w:val="20"/>
        </w:rPr>
        <w:t>为对配置的笛卡尔边界盒逐分量截断，定义</w:t>
      </w:r>
    </w:p>
    <w:tbl>
      <w:tblPr>
        <w:tblStyle w:val="10"/>
        <w:tblW w:w="4866" w:type="dxa"/>
        <w:tblCaption w:val="Equation 3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46FF9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7C785F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bar>
                          <m:barPr>
                            <m:pos m:val="top"/>
                          </m:barPr>
                          <m:e>
                            <m:r>
                              <m:rPr>
                                <m:sty m:val="bi"/>
                              </m:rPr>
                              <w:rPr>
                                <w:rFonts w:ascii="Cambria Math" w:hAnsi="Cambria Math" w:eastAsia="Cambria Math" w:cs="Cambria Math"/>
                                <w:sz w:val="18"/>
                                <w:szCs w:val="18"/>
                              </w:rPr>
                              <m:t>p</m:t>
                            </m:r>
                          </m:e>
                        </m:ba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p"/>
                          </m:rPr>
                          <w:rPr>
                            <w:rFonts w:ascii="Cambria Math" w:hAnsi="Cambria Math" w:eastAsia="Cambria Math" w:cs="Cambria Math"/>
                            <w:sz w:val="18"/>
                            <w:szCs w:val="18"/>
                          </w:rPr>
                          <m:t>Π</m:t>
                        </m:r>
                      </m:e>
                      <m:sub>
                        <m:r>
                          <m:rPr>
                            <m:sty m:val="p"/>
                            <m:scr m:val="script"/>
                          </m:rPr>
                          <w:rPr>
                            <w:rFonts w:ascii="Cambria Math" w:hAnsi="Cambria Math" w:eastAsia="Cambria Math" w:cs="Cambria Math"/>
                            <w:sz w:val="18"/>
                            <w:szCs w:val="18"/>
                          </w:rPr>
                          <m:t>ℬ</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P</m:t>
                        </m:r>
                      </m:e>
                      <m:sub>
                        <m:r>
                          <m:rPr/>
                          <w:rPr>
                            <w:rFonts w:ascii="Cambria Math" w:hAnsi="Cambria Math" w:eastAsia="Cambria Math" w:cs="Cambria Math"/>
                            <w:sz w:val="18"/>
                            <w:szCs w:val="18"/>
                          </w:rPr>
                          <m:t>xy</m:t>
                        </m:r>
                      </m:sub>
                    </m:sSub>
                    <m:d>
                      <m:dPr>
                        <m:sepChr m:val=""/>
                      </m:d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bar>
                              <m:barPr>
                                <m:pos m:val="top"/>
                              </m:barPr>
                              <m:e>
                                <m:r>
                                  <m:rPr>
                                    <m:sty m:val="bi"/>
                                  </m:rPr>
                                  <w:rPr>
                                    <w:rFonts w:ascii="Cambria Math" w:hAnsi="Cambria Math" w:eastAsia="Cambria Math" w:cs="Cambria Math"/>
                                    <w:sz w:val="18"/>
                                    <w:szCs w:val="18"/>
                                  </w:rPr>
                                  <m:t>p</m:t>
                                </m:r>
                              </m:e>
                            </m:ba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qArr>
              </m:oMath>
            </m:oMathPara>
          </w:p>
        </w:tc>
        <w:tc>
          <w:tcPr>
            <w:tcW w:w="390" w:type="dxa"/>
            <w:vAlign w:val="center"/>
          </w:tcPr>
          <w:p w14:paraId="1B38611E">
            <w:pPr>
              <w:numPr>
                <w:ilvl w:val="0"/>
                <w:numId w:val="0"/>
              </w:numPr>
              <w:snapToGrid w:val="0"/>
              <w:jc w:val="right"/>
              <w:rPr>
                <w:sz w:val="16"/>
              </w:rPr>
            </w:pPr>
            <w:r>
              <w:rPr>
                <w:sz w:val="16"/>
                <w:szCs w:val="16"/>
              </w:rPr>
              <w:t>(34)</w:t>
            </w:r>
          </w:p>
        </w:tc>
      </w:tr>
    </w:tbl>
    <w:p w14:paraId="25B95CA1">
      <w:pPr>
        <w:pStyle w:val="7"/>
        <w:numPr>
          <w:ilvl w:val="0"/>
          <w:numId w:val="0"/>
        </w:numPr>
        <w:snapToGrid w:val="0"/>
        <w:rPr>
          <w:sz w:val="20"/>
        </w:rPr>
      </w:pPr>
      <w:r>
        <w:rPr>
          <w:rFonts w:hint="eastAsia"/>
          <w:sz w:val="20"/>
          <w:szCs w:val="20"/>
        </w:rPr>
        <w:t>其中</w:t>
      </w:r>
      <w:r>
        <w:rPr>
          <w:sz w:val="20"/>
          <w:szCs w:val="20"/>
        </w:rPr>
        <w:t xml:space="preserve"> </w:t>
      </w:r>
      <m:oMath>
        <m:sSub>
          <m:sSubPr/>
          <m:e>
            <m:r>
              <m:rPr>
                <m:sty m:val="b"/>
              </m:rPr>
              <w:rPr>
                <w:rFonts w:ascii="Cambria Math" w:hAnsi="Cambria Math" w:eastAsia="Cambria Math" w:cs="Cambria Math"/>
                <w:sz w:val="20"/>
                <w:szCs w:val="20"/>
              </w:rPr>
              <m:t>P</m:t>
            </m:r>
          </m:e>
          <m:sub>
            <m:r>
              <m:rPr/>
              <w:rPr>
                <w:rFonts w:ascii="Cambria Math" w:hAnsi="Cambria Math" w:eastAsia="Cambria Math" w:cs="Cambria Math"/>
                <w:sz w:val="20"/>
                <w:szCs w:val="20"/>
              </w:rPr>
              <m:t>xy</m:t>
            </m:r>
          </m:sub>
        </m:sSub>
      </m:oMath>
      <w:r>
        <w:rPr>
          <w:sz w:val="20"/>
          <w:szCs w:val="20"/>
        </w:rPr>
        <w:t xml:space="preserve"> </w:t>
      </w:r>
      <w:r>
        <w:rPr>
          <w:rFonts w:hint="eastAsia"/>
          <w:sz w:val="20"/>
          <w:szCs w:val="20"/>
        </w:rPr>
        <w:t>取出水平分量。为避免每周期重复累计同一越界量，底盘参考增量采用</w:t>
      </w:r>
    </w:p>
    <w:tbl>
      <w:tblPr>
        <w:tblStyle w:val="10"/>
        <w:tblW w:w="4866" w:type="dxa"/>
        <w:tblCaption w:val="Equation 3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292C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993C877">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b,d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map,</m:t>
                    </m:r>
                    <m:r>
                      <m:rPr/>
                      <w:rPr>
                        <w:rFonts w:ascii="Cambria Math" w:hAnsi="Cambria Math" w:eastAsia="Cambria Math" w:cs="Cambria Math"/>
                        <w:sz w:val="18"/>
                        <w:szCs w:val="18"/>
                      </w:rPr>
                      <m:t>xy</m:t>
                    </m:r>
                  </m:sub>
                </m:sSub>
                <m:d>
                  <m:dPr>
                    <m:sepChr m:val=""/>
                  </m:dPr>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oMath>
            </m:oMathPara>
          </w:p>
        </w:tc>
        <w:tc>
          <w:tcPr>
            <w:tcW w:w="390" w:type="dxa"/>
            <w:vAlign w:val="center"/>
          </w:tcPr>
          <w:p w14:paraId="6166FC46">
            <w:pPr>
              <w:numPr>
                <w:ilvl w:val="0"/>
                <w:numId w:val="0"/>
              </w:numPr>
              <w:snapToGrid w:val="0"/>
              <w:jc w:val="right"/>
              <w:rPr>
                <w:sz w:val="16"/>
              </w:rPr>
            </w:pPr>
            <w:r>
              <w:rPr>
                <w:sz w:val="16"/>
                <w:szCs w:val="16"/>
              </w:rPr>
              <w:t>(35)</w:t>
            </w:r>
          </w:p>
        </w:tc>
      </w:tr>
    </w:tbl>
    <w:p w14:paraId="18B99B99">
      <w:pPr>
        <w:pStyle w:val="7"/>
        <w:numPr>
          <w:ilvl w:val="0"/>
          <w:numId w:val="0"/>
        </w:numPr>
        <w:snapToGrid w:val="0"/>
        <w:rPr>
          <w:sz w:val="20"/>
        </w:rPr>
      </w:pP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map,</m:t>
            </m:r>
            <m:r>
              <m:rPr/>
              <w:rPr>
                <w:rFonts w:ascii="Cambria Math" w:hAnsi="Cambria Math" w:eastAsia="Cambria Math" w:cs="Cambria Math"/>
                <w:sz w:val="20"/>
                <w:szCs w:val="20"/>
              </w:rPr>
              <m:t>xy</m:t>
            </m:r>
          </m:sub>
        </m:sSub>
      </m:oMath>
      <w:r>
        <w:rPr>
          <w:sz w:val="20"/>
          <w:szCs w:val="20"/>
        </w:rPr>
        <w:t xml:space="preserve"> </w:t>
      </w:r>
      <w:r>
        <w:rPr>
          <w:rFonts w:hint="eastAsia"/>
          <w:sz w:val="20"/>
          <w:szCs w:val="20"/>
        </w:rPr>
        <w:t>表示在底盘近似水平、朝向固定时，从机械臂水平轴到导航水平轴的二维旋转。实际状态机需明确目标回到区间内时是否回退底盘，以及如何更新参考零点；报告代码片段不足以验证所有切换行为。边界盒也不是机械臂真实可达集，截断后仍须检查逆解、碰撞和关节联动限制。垂直方向沿用报告的限幅方式，不将其写成已实现的底盘升降补偿。</w:t>
      </w:r>
    </w:p>
    <w:bookmarkEnd w:id="6"/>
    <w:bookmarkEnd w:id="15"/>
    <w:bookmarkEnd w:id="18"/>
    <w:p w14:paraId="7807EF6D">
      <w:pPr>
        <w:pStyle w:val="2"/>
        <w:numPr>
          <w:ilvl w:val="0"/>
          <w:numId w:val="0"/>
        </w:numPr>
        <w:snapToGrid w:val="0"/>
      </w:pPr>
      <w:bookmarkStart w:id="19" w:name="iv.-实验与结果experiments-and-results"/>
      <w:r>
        <w:t xml:space="preserve">IV. </w:t>
      </w:r>
      <w:r>
        <w:rPr>
          <w:rFonts w:hint="eastAsia"/>
        </w:rPr>
        <w:t>实验与结果（Experiments</w:t>
      </w:r>
      <w:r>
        <w:t xml:space="preserve"> and </w:t>
      </w:r>
      <w:r>
        <w:rPr>
          <w:rFonts w:hint="eastAsia"/>
        </w:rPr>
        <w:t>Results）</w:t>
      </w:r>
    </w:p>
    <w:p w14:paraId="0A9B66BF">
      <w:pPr>
        <w:pStyle w:val="3"/>
        <w:numPr>
          <w:ilvl w:val="1"/>
          <w:numId w:val="0"/>
        </w:numPr>
        <w:snapToGrid w:val="0"/>
      </w:pPr>
      <w:bookmarkStart w:id="20" w:name="a.-数据来源与评估指标"/>
      <w:r>
        <w:t xml:space="preserve">A. </w:t>
      </w:r>
      <w:r>
        <w:rPr>
          <w:rFonts w:hint="eastAsia"/>
        </w:rPr>
        <w:t>数据来源与评估指标</w:t>
      </w:r>
    </w:p>
    <w:p w14:paraId="04B12095">
      <w:pPr>
        <w:pStyle w:val="7"/>
        <w:numPr>
          <w:ilvl w:val="0"/>
          <w:numId w:val="0"/>
        </w:numPr>
        <w:snapToGrid w:val="0"/>
        <w:rPr>
          <w:sz w:val="20"/>
        </w:rPr>
      </w:pPr>
      <w:r>
        <w:rPr>
          <w:rFonts w:hint="eastAsia"/>
          <w:sz w:val="20"/>
          <w:szCs w:val="20"/>
        </w:rPr>
        <w:t>本文实验资料来自技术报告</w:t>
      </w:r>
      <w:r>
        <w:rPr>
          <w:sz w:val="20"/>
          <w:szCs w:val="20"/>
        </w:rPr>
        <w:t xml:space="preserve"> [4] </w:t>
      </w:r>
      <w:r>
        <w:rPr>
          <w:rFonts w:hint="eastAsia"/>
          <w:sz w:val="20"/>
          <w:szCs w:val="20"/>
        </w:rPr>
        <w:t>的控制曲线、功能演示和版本迭代记录，结构参数由</w:t>
      </w:r>
      <w:r>
        <w:rPr>
          <w:sz w:val="20"/>
          <w:szCs w:val="20"/>
        </w:rPr>
        <w:t xml:space="preserve"> [5] </w:t>
      </w:r>
      <w:r>
        <w:rPr>
          <w:rFonts w:hint="eastAsia"/>
          <w:sz w:val="20"/>
          <w:szCs w:val="20"/>
        </w:rPr>
        <w:t>补充。现有材料未包含可下载的逐时刻原始日志、统一误差带定义或重复试验统计，因此本节区分报告给出的数值、功能性观察和待测指标，不构造虚拟数据集。</w:t>
      </w:r>
    </w:p>
    <w:p w14:paraId="469AFE0A">
      <w:pPr>
        <w:pStyle w:val="7"/>
        <w:numPr>
          <w:ilvl w:val="0"/>
          <w:numId w:val="0"/>
        </w:numPr>
        <w:snapToGrid w:val="0"/>
        <w:rPr>
          <w:sz w:val="20"/>
        </w:rPr>
      </w:pPr>
      <w:r>
        <w:rPr>
          <w:rFonts w:hint="eastAsia"/>
          <w:sz w:val="20"/>
          <w:szCs w:val="20"/>
        </w:rPr>
        <w:t>后续定量评估宜同步记录主端指令、从端位姿、关节反馈、IMU、电池电压和电流。位置均方根误差、姿态误差和电能可分别定义为</w:t>
      </w:r>
    </w:p>
    <w:tbl>
      <w:tblPr>
        <w:tblStyle w:val="10"/>
        <w:tblW w:w="4866" w:type="dxa"/>
        <w:tblCaption w:val="Equation 3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46F4ED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6610F38">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p</m:t>
                        </m:r>
                      </m:sub>
                    </m:sSub>
                    <m:r>
                      <m:rPr>
                        <m:sty m:val="p"/>
                      </m:rPr>
                      <w:rPr>
                        <w:rFonts w:ascii="Cambria Math" w:hAnsi="Cambria Math" w:eastAsia="Cambria Math" w:cs="Cambria Math"/>
                        <w:sz w:val="18"/>
                        <w:szCs w:val="18"/>
                      </w:rPr>
                      <m:t>=</m:t>
                    </m:r>
                    <m:rad>
                      <m:radPr>
                        <m:degHide m:val="1"/>
                      </m:radPr>
                      <m:deg/>
                      <m:e>
                        <m:f>
                          <m:fPr/>
                          <m:num>
                            <m:r>
                              <m:rPr/>
                              <w:rPr>
                                <w:rFonts w:ascii="Cambria Math" w:hAnsi="Cambria Math" w:eastAsia="Cambria Math" w:cs="Cambria Math"/>
                                <w:sz w:val="18"/>
                                <w:szCs w:val="18"/>
                              </w:rPr>
                              <m:t>1</m:t>
                            </m:r>
                          </m:num>
                          <m:den>
                            <m:r>
                              <m:rPr/>
                              <w:rPr>
                                <w:rFonts w:ascii="Cambria Math" w:hAnsi="Cambria Math" w:eastAsia="Cambria Math" w:cs="Cambria Math"/>
                                <w:sz w:val="18"/>
                                <w:szCs w:val="18"/>
                              </w:rPr>
                              <m:t>N</m:t>
                            </m:r>
                          </m:den>
                        </m:f>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m:sty m:val="p"/>
                              </m:rPr>
                              <w:rPr>
                                <w:rFonts w:ascii="Cambria Math" w:hAnsi="Cambria Math" w:eastAsia="Cambria Math" w:cs="Cambria Math"/>
                                <w:sz w:val="18"/>
                                <w:szCs w:val="18"/>
                              </w:rPr>
                              <m:t>∥</m:t>
                            </m:r>
                          </m:e>
                        </m:nary>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p</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R</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]=arccos</m:t>
                    </m:r>
                    <m:f>
                      <m:fPr/>
                      <m:num>
                        <m:r>
                          <m:rPr>
                            <m:sty m:val="p"/>
                          </m:rPr>
                          <w:rPr>
                            <w:rFonts w:ascii="Cambria Math" w:hAnsi="Cambria Math" w:eastAsia="Cambria Math" w:cs="Cambria Math"/>
                            <w:sz w:val="18"/>
                            <w:szCs w:val="18"/>
                          </w:rPr>
                          <m:t>tr(</m:t>
                        </m:r>
                        <m:sSubSup>
                          <m:sSubSup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R</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bat</m:t>
                        </m:r>
                      </m:sub>
                    </m:sSub>
                    <m:r>
                      <m:rPr>
                        <m:sty m:val="p"/>
                      </m:rPr>
                      <w:rPr>
                        <w:rFonts w:ascii="Cambria Math" w:hAnsi="Cambria Math" w:eastAsia="Cambria Math" w:cs="Cambria Math"/>
                        <w:sz w:val="18"/>
                        <w:szCs w:val="18"/>
                      </w:rPr>
                      <m:t>=</m:t>
                    </m:r>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w:rPr>
                            <w:rFonts w:ascii="Cambria Math" w:hAnsi="Cambria Math" w:eastAsia="Cambria Math" w:cs="Cambria Math"/>
                            <w:sz w:val="18"/>
                            <w:szCs w:val="18"/>
                          </w:rPr>
                          <m:t>U</m:t>
                        </m:r>
                      </m:e>
                    </m:nary>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r>
                      <m:rPr>
                        <m:sty m:val="p"/>
                      </m:rPr>
                      <w:rPr>
                        <w:rFonts w:ascii="Cambria Math" w:hAnsi="Cambria Math" w:eastAsia="Cambria Math" w:cs="Cambria Math"/>
                        <w:sz w:val="18"/>
                        <w:szCs w:val="18"/>
                      </w:rPr>
                      <m:t>.</m:t>
                    </m:r>
                  </m:e>
                </m:eqArr>
              </m:oMath>
            </m:oMathPara>
          </w:p>
        </w:tc>
        <w:tc>
          <w:tcPr>
            <w:tcW w:w="390" w:type="dxa"/>
            <w:vAlign w:val="center"/>
          </w:tcPr>
          <w:p w14:paraId="1CFA7FDD">
            <w:pPr>
              <w:numPr>
                <w:ilvl w:val="0"/>
                <w:numId w:val="0"/>
              </w:numPr>
              <w:snapToGrid w:val="0"/>
              <w:jc w:val="right"/>
              <w:rPr>
                <w:sz w:val="16"/>
              </w:rPr>
            </w:pPr>
            <w:r>
              <w:rPr>
                <w:sz w:val="16"/>
                <w:szCs w:val="16"/>
              </w:rPr>
              <w:t>(36)</w:t>
            </w:r>
          </w:p>
        </w:tc>
      </w:tr>
    </w:tbl>
    <w:p w14:paraId="2BE1AFCC">
      <w:pPr>
        <w:pStyle w:val="7"/>
        <w:numPr>
          <w:ilvl w:val="0"/>
          <w:numId w:val="0"/>
        </w:numPr>
        <w:snapToGrid w:val="0"/>
        <w:rPr>
          <w:sz w:val="20"/>
        </w:rPr>
      </w:pPr>
      <w:r>
        <w:rPr>
          <w:rFonts w:hint="eastAsia"/>
          <w:sz w:val="20"/>
          <w:szCs w:val="20"/>
        </w:rPr>
        <w:t>其中</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为样本数，</w:t>
      </w:r>
      <m:oMath>
        <m:sSub>
          <m:sSubPr/>
          <m:e>
            <m:r>
              <m:rPr/>
              <w:rPr>
                <w:rFonts w:ascii="Cambria Math" w:hAnsi="Cambria Math" w:eastAsia="Cambria Math" w:cs="Cambria Math"/>
                <w:sz w:val="20"/>
                <w:szCs w:val="20"/>
              </w:rPr>
              <m:t>T</m:t>
            </m:r>
          </m:e>
          <m:sub>
            <m:r>
              <m:rPr>
                <m:sty m:val="p"/>
              </m:rPr>
              <w:rPr>
                <w:rFonts w:ascii="Cambria Math" w:hAnsi="Cambria Math" w:eastAsia="Cambria Math" w:cs="Cambria Math"/>
                <w:sz w:val="20"/>
                <w:szCs w:val="20"/>
              </w:rPr>
              <m:t>s</m:t>
            </m:r>
          </m:sub>
        </m:sSub>
      </m:oMath>
      <w:r>
        <w:rPr>
          <w:rFonts w:hint="eastAsia"/>
          <w:sz w:val="20"/>
          <w:szCs w:val="20"/>
        </w:rPr>
        <w:t xml:space="preserve"> 为采样周期（s），</w:t>
      </w:r>
      <m:oMath>
        <m:r>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oMath>
      <w:r>
        <w:rPr>
          <w:sz w:val="20"/>
          <w:szCs w:val="20"/>
        </w:rPr>
        <w:t xml:space="preserve"> </w:t>
      </w:r>
      <w:r>
        <w:rPr>
          <w:rFonts w:hint="eastAsia"/>
          <w:sz w:val="20"/>
          <w:szCs w:val="20"/>
        </w:rPr>
        <w:t>为电池端电压和电流；姿态式中的反余弦输入须防止舍入越界。对于同一路线，可报告平均功率及单位行程耗能</w:t>
      </w:r>
      <w:r>
        <w:rPr>
          <w:sz w:val="20"/>
          <w:szCs w:val="20"/>
        </w:rPr>
        <w:t xml:space="preserve"> </w:t>
      </w:r>
      <m:oMath>
        <m:sSub>
          <m:sSubPr/>
          <m:e>
            <m:r>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bat</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D</m:t>
        </m:r>
      </m:oMath>
      <w:r>
        <w:rPr>
          <w:rFonts w:hint="eastAsia"/>
          <w:sz w:val="20"/>
          <w:szCs w:val="20"/>
        </w:rPr>
        <w:t>，</w:t>
      </w:r>
      <m:oMath>
        <m:r>
          <m:rPr/>
          <w:rPr>
            <w:rFonts w:ascii="Cambria Math" w:hAnsi="Cambria Math" w:eastAsia="Cambria Math" w:cs="Cambria Math"/>
            <w:sz w:val="20"/>
            <w:szCs w:val="20"/>
          </w:rPr>
          <m:t>D</m:t>
        </m:r>
      </m:oMath>
      <w:r>
        <w:rPr>
          <w:sz w:val="20"/>
          <w:szCs w:val="20"/>
        </w:rPr>
        <w:t xml:space="preserve"> </w:t>
      </w:r>
      <w:r>
        <w:rPr>
          <w:rFonts w:hint="eastAsia"/>
          <w:sz w:val="20"/>
          <w:szCs w:val="20"/>
        </w:rPr>
        <w:t>为行程。阶跃响应应统一稳定时间误差带，越障任务应给出成功次数、总试验次数和障碍几何。以上定义是补测方案，当前不赋予未测数值。</w:t>
      </w:r>
    </w:p>
    <w:bookmarkEnd w:id="20"/>
    <w:p w14:paraId="759E9767">
      <w:pPr>
        <w:pStyle w:val="3"/>
        <w:numPr>
          <w:ilvl w:val="1"/>
          <w:numId w:val="0"/>
        </w:numPr>
        <w:snapToGrid w:val="0"/>
      </w:pPr>
      <w:bookmarkStart w:id="21" w:name="b.-实验设置"/>
      <w:r>
        <w:t xml:space="preserve">B. </w:t>
      </w:r>
      <w:r>
        <w:rPr>
          <w:rFonts w:hint="eastAsia"/>
        </w:rPr>
        <w:t>实验设置</w:t>
      </w:r>
    </w:p>
    <w:p w14:paraId="60B405E9">
      <w:pPr>
        <w:pStyle w:val="7"/>
        <w:numPr>
          <w:ilvl w:val="0"/>
          <w:numId w:val="0"/>
        </w:numPr>
        <w:snapToGrid w:val="0"/>
        <w:rPr>
          <w:sz w:val="20"/>
        </w:rPr>
      </w:pPr>
      <w:r>
        <w:rPr>
          <w:sz w:val="20"/>
          <w:szCs w:val="20"/>
        </w:rPr>
        <w:t xml:space="preserve">TABLE III </w:t>
      </w:r>
      <w:r>
        <w:rPr>
          <w:rFonts w:hint="eastAsia"/>
          <w:sz w:val="20"/>
          <w:szCs w:val="20"/>
        </w:rPr>
        <w:t>汇总报告中的硬件与开发条件。</w:t>
      </w:r>
    </w:p>
    <w:p w14:paraId="7F086EBB">
      <w:pPr>
        <w:pStyle w:val="28"/>
        <w:keepNext/>
        <w:numPr>
          <w:ilvl w:val="0"/>
          <w:numId w:val="0"/>
        </w:numPr>
        <w:snapToGrid w:val="0"/>
      </w:pPr>
      <w:r>
        <w:rPr>
          <w:bCs/>
        </w:rPr>
        <w:t xml:space="preserve">TABLE III. </w:t>
      </w:r>
      <w:r>
        <w:rPr>
          <w:rFonts w:hint="eastAsia"/>
          <w:bCs/>
        </w:rPr>
        <w:t>技术报告记载的硬件与开发条件</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31B00C86">
        <w:trPr>
          <w:cantSplit/>
          <w:tblHeader/>
        </w:trPr>
        <w:tc>
          <w:tcPr>
            <w:tcW w:w="1622" w:type="dxa"/>
          </w:tcPr>
          <w:p w14:paraId="0F97E9AF">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601C6D42">
            <w:pPr>
              <w:pStyle w:val="24"/>
              <w:keepNext/>
              <w:numPr>
                <w:ilvl w:val="0"/>
                <w:numId w:val="0"/>
              </w:numPr>
              <w:snapToGrid w:val="0"/>
              <w:spacing w:before="0" w:after="0" w:line="240" w:lineRule="auto"/>
              <w:rPr>
                <w:sz w:val="16"/>
              </w:rPr>
            </w:pPr>
            <w:r>
              <w:rPr>
                <w:rFonts w:hint="eastAsia"/>
                <w:sz w:val="16"/>
                <w:szCs w:val="16"/>
              </w:rPr>
              <w:t>报告记录</w:t>
            </w:r>
          </w:p>
        </w:tc>
        <w:tc>
          <w:tcPr>
            <w:tcW w:w="1622" w:type="dxa"/>
          </w:tcPr>
          <w:p w14:paraId="6F002F06">
            <w:pPr>
              <w:pStyle w:val="24"/>
              <w:keepNext/>
              <w:numPr>
                <w:ilvl w:val="0"/>
                <w:numId w:val="0"/>
              </w:numPr>
              <w:snapToGrid w:val="0"/>
              <w:spacing w:before="0" w:after="0" w:line="240" w:lineRule="auto"/>
              <w:rPr>
                <w:sz w:val="16"/>
              </w:rPr>
            </w:pPr>
            <w:r>
              <w:rPr>
                <w:rFonts w:hint="eastAsia"/>
                <w:sz w:val="16"/>
                <w:szCs w:val="16"/>
              </w:rPr>
              <w:t>解释</w:t>
            </w:r>
          </w:p>
        </w:tc>
      </w:tr>
      <w:tr w14:paraId="47381798">
        <w:trPr>
          <w:cantSplit/>
        </w:trPr>
        <w:tc>
          <w:tcPr>
            <w:tcW w:w="1622" w:type="dxa"/>
          </w:tcPr>
          <w:p w14:paraId="1719994B">
            <w:pPr>
              <w:pStyle w:val="26"/>
              <w:keepNext/>
              <w:numPr>
                <w:ilvl w:val="0"/>
                <w:numId w:val="0"/>
              </w:numPr>
              <w:snapToGrid w:val="0"/>
              <w:spacing w:before="0" w:after="0" w:line="240" w:lineRule="auto"/>
              <w:rPr>
                <w:sz w:val="16"/>
              </w:rPr>
            </w:pPr>
            <w:r>
              <w:rPr>
                <w:rFonts w:hint="eastAsia"/>
                <w:sz w:val="16"/>
                <w:szCs w:val="16"/>
              </w:rPr>
              <w:t>机器人质量</w:t>
            </w:r>
          </w:p>
        </w:tc>
        <w:tc>
          <w:tcPr>
            <w:tcW w:w="1622" w:type="dxa"/>
          </w:tcPr>
          <w:p w14:paraId="0669448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35 </m:t>
                </m:r>
                <m:r>
                  <m:rPr>
                    <m:sty m:val="p"/>
                  </m:rPr>
                  <w:rPr>
                    <w:rFonts w:ascii="Cambria Math" w:hAnsi="Cambria Math" w:eastAsia="Cambria Math" w:cs="Cambria Math"/>
                    <w:sz w:val="16"/>
                    <w:szCs w:val="16"/>
                  </w:rPr>
                  <m:t>kg</m:t>
                </m:r>
              </m:oMath>
            </m:oMathPara>
          </w:p>
        </w:tc>
        <w:tc>
          <w:tcPr>
            <w:tcW w:w="1622" w:type="dxa"/>
          </w:tcPr>
          <w:p w14:paraId="67B67A5E">
            <w:pPr>
              <w:pStyle w:val="26"/>
              <w:keepNext/>
              <w:numPr>
                <w:ilvl w:val="0"/>
                <w:numId w:val="0"/>
              </w:numPr>
              <w:snapToGrid w:val="0"/>
              <w:spacing w:before="0" w:after="0" w:line="240" w:lineRule="auto"/>
              <w:rPr>
                <w:sz w:val="16"/>
              </w:rPr>
            </w:pPr>
            <w:r>
              <w:rPr>
                <w:rFonts w:hint="eastAsia"/>
                <w:sz w:val="16"/>
                <w:szCs w:val="16"/>
              </w:rPr>
              <w:t>载荷与附件口径未说明</w:t>
            </w:r>
          </w:p>
        </w:tc>
      </w:tr>
      <w:tr w14:paraId="5D57C343">
        <w:trPr>
          <w:cantSplit/>
        </w:trPr>
        <w:tc>
          <w:tcPr>
            <w:tcW w:w="1622" w:type="dxa"/>
          </w:tcPr>
          <w:p w14:paraId="5B0F3A66">
            <w:pPr>
              <w:pStyle w:val="26"/>
              <w:keepNext/>
              <w:numPr>
                <w:ilvl w:val="0"/>
                <w:numId w:val="0"/>
              </w:numPr>
              <w:snapToGrid w:val="0"/>
              <w:spacing w:before="0" w:after="0" w:line="240" w:lineRule="auto"/>
              <w:rPr>
                <w:sz w:val="16"/>
              </w:rPr>
            </w:pPr>
            <w:r>
              <w:rPr>
                <w:rFonts w:hint="eastAsia"/>
                <w:sz w:val="16"/>
                <w:szCs w:val="16"/>
              </w:rPr>
              <w:t>工作电压</w:t>
            </w:r>
          </w:p>
        </w:tc>
        <w:tc>
          <w:tcPr>
            <w:tcW w:w="1622" w:type="dxa"/>
          </w:tcPr>
          <w:p w14:paraId="51DA5798">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24 </m:t>
                </m:r>
                <m:r>
                  <m:rPr>
                    <m:sty m:val="p"/>
                  </m:rPr>
                  <w:rPr>
                    <w:rFonts w:ascii="Cambria Math" w:hAnsi="Cambria Math" w:eastAsia="Cambria Math" w:cs="Cambria Math"/>
                    <w:sz w:val="16"/>
                    <w:szCs w:val="16"/>
                  </w:rPr>
                  <m:t>V</m:t>
                </m:r>
              </m:oMath>
            </m:oMathPara>
          </w:p>
        </w:tc>
        <w:tc>
          <w:tcPr>
            <w:tcW w:w="1622" w:type="dxa"/>
          </w:tcPr>
          <w:p w14:paraId="5EFA34DE">
            <w:pPr>
              <w:pStyle w:val="26"/>
              <w:keepNext/>
              <w:numPr>
                <w:ilvl w:val="0"/>
                <w:numId w:val="0"/>
              </w:numPr>
              <w:snapToGrid w:val="0"/>
              <w:spacing w:before="0" w:after="0" w:line="240" w:lineRule="auto"/>
              <w:rPr>
                <w:sz w:val="16"/>
              </w:rPr>
            </w:pPr>
            <w:r>
              <w:rPr>
                <w:rFonts w:hint="eastAsia"/>
                <w:sz w:val="16"/>
                <w:szCs w:val="16"/>
              </w:rPr>
              <w:t>供电参数，不代表平均功率</w:t>
            </w:r>
          </w:p>
        </w:tc>
      </w:tr>
      <w:tr w14:paraId="1E7133F4">
        <w:trPr>
          <w:cantSplit/>
        </w:trPr>
        <w:tc>
          <w:tcPr>
            <w:tcW w:w="1622" w:type="dxa"/>
          </w:tcPr>
          <w:p w14:paraId="6A3C45FC">
            <w:pPr>
              <w:pStyle w:val="26"/>
              <w:keepNext/>
              <w:numPr>
                <w:ilvl w:val="0"/>
                <w:numId w:val="0"/>
              </w:numPr>
              <w:snapToGrid w:val="0"/>
              <w:spacing w:before="0" w:after="0" w:line="240" w:lineRule="auto"/>
              <w:rPr>
                <w:sz w:val="16"/>
              </w:rPr>
            </w:pPr>
            <w:r>
              <w:rPr>
                <w:rFonts w:hint="eastAsia"/>
                <w:sz w:val="16"/>
                <w:szCs w:val="16"/>
              </w:rPr>
              <w:t>车体最大速度</w:t>
            </w:r>
          </w:p>
        </w:tc>
        <w:tc>
          <w:tcPr>
            <w:tcW w:w="1622" w:type="dxa"/>
          </w:tcPr>
          <w:p w14:paraId="3514ECE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3 </m:t>
                </m:r>
                <m:r>
                  <m:rPr>
                    <m:sty m:val="p"/>
                  </m:rPr>
                  <w:rPr>
                    <w:rFonts w:ascii="Cambria Math" w:hAnsi="Cambria Math" w:eastAsia="Cambria Math" w:cs="Cambria Math"/>
                    <w:sz w:val="16"/>
                    <w:szCs w:val="16"/>
                  </w:rPr>
                  <m:t>m/s</m:t>
                </m:r>
              </m:oMath>
            </m:oMathPara>
          </w:p>
        </w:tc>
        <w:tc>
          <w:tcPr>
            <w:tcW w:w="1622" w:type="dxa"/>
          </w:tcPr>
          <w:p w14:paraId="69148A9D">
            <w:pPr>
              <w:pStyle w:val="26"/>
              <w:keepNext/>
              <w:numPr>
                <w:ilvl w:val="0"/>
                <w:numId w:val="0"/>
              </w:numPr>
              <w:snapToGrid w:val="0"/>
              <w:spacing w:before="0" w:after="0" w:line="240" w:lineRule="auto"/>
              <w:rPr>
                <w:sz w:val="16"/>
              </w:rPr>
            </w:pPr>
            <w:r>
              <w:rPr>
                <w:rFonts w:hint="eastAsia"/>
                <w:sz w:val="16"/>
                <w:szCs w:val="16"/>
              </w:rPr>
              <w:t>参数表记录，缺测试过程</w:t>
            </w:r>
          </w:p>
        </w:tc>
      </w:tr>
      <w:tr w14:paraId="57B70065">
        <w:trPr>
          <w:cantSplit/>
        </w:trPr>
        <w:tc>
          <w:tcPr>
            <w:tcW w:w="1622" w:type="dxa"/>
          </w:tcPr>
          <w:p w14:paraId="705B1417">
            <w:pPr>
              <w:pStyle w:val="26"/>
              <w:keepNext/>
              <w:numPr>
                <w:ilvl w:val="0"/>
                <w:numId w:val="0"/>
              </w:numPr>
              <w:snapToGrid w:val="0"/>
              <w:spacing w:before="0" w:after="0" w:line="240" w:lineRule="auto"/>
              <w:rPr>
                <w:sz w:val="16"/>
              </w:rPr>
            </w:pPr>
            <w:r>
              <w:rPr>
                <w:rFonts w:hint="eastAsia"/>
                <w:sz w:val="16"/>
                <w:szCs w:val="16"/>
              </w:rPr>
              <w:t>腿部关节驱动</w:t>
            </w:r>
          </w:p>
        </w:tc>
        <w:tc>
          <w:tcPr>
            <w:tcW w:w="1622" w:type="dxa"/>
          </w:tcPr>
          <w:p w14:paraId="06DE7E4D">
            <w:pPr>
              <w:pStyle w:val="26"/>
              <w:keepNext/>
              <w:numPr>
                <w:ilvl w:val="0"/>
                <w:numId w:val="0"/>
              </w:numPr>
              <w:snapToGrid w:val="0"/>
              <w:spacing w:before="0" w:after="0" w:line="240" w:lineRule="auto"/>
              <w:rPr>
                <w:sz w:val="16"/>
              </w:rPr>
            </w:pPr>
            <w:r>
              <w:rPr>
                <w:sz w:val="16"/>
                <w:szCs w:val="16"/>
              </w:rPr>
              <w:t xml:space="preserve">8 </w:t>
            </w:r>
            <w:r>
              <w:rPr>
                <w:rFonts w:hint="eastAsia"/>
                <w:sz w:val="16"/>
                <w:szCs w:val="16"/>
              </w:rPr>
              <w:t>个</w:t>
            </w:r>
            <w:r>
              <w:rPr>
                <w:sz w:val="16"/>
                <w:szCs w:val="16"/>
              </w:rPr>
              <w:t xml:space="preserve"> DM-8009p-2EC</w:t>
            </w:r>
          </w:p>
        </w:tc>
        <w:tc>
          <w:tcPr>
            <w:tcW w:w="1622" w:type="dxa"/>
          </w:tcPr>
          <w:p w14:paraId="5A59ED14">
            <w:pPr>
              <w:pStyle w:val="26"/>
              <w:keepNext/>
              <w:numPr>
                <w:ilvl w:val="0"/>
                <w:numId w:val="0"/>
              </w:numPr>
              <w:snapToGrid w:val="0"/>
              <w:spacing w:before="0" w:after="0" w:line="240" w:lineRule="auto"/>
              <w:rPr>
                <w:sz w:val="16"/>
              </w:rPr>
            </w:pPr>
            <w:r>
              <w:rPr>
                <w:rFonts w:hint="eastAsia"/>
                <w:sz w:val="16"/>
                <w:szCs w:val="16"/>
              </w:rPr>
              <w:t>报告列额定转矩</w:t>
            </w:r>
            <w:r>
              <w:rPr>
                <w:sz w:val="16"/>
                <w:szCs w:val="16"/>
              </w:rPr>
              <w:t xml:space="preserve"> </w:t>
            </w:r>
            <m:oMath>
              <m:r>
                <m:rPr/>
                <w:rPr>
                  <w:rFonts w:ascii="Cambria Math" w:hAnsi="Cambria Math" w:eastAsia="Cambria Math" w:cs="Cambria Math"/>
                  <w:sz w:val="16"/>
                  <w:szCs w:val="16"/>
                </w:rPr>
                <m:t>20 </m:t>
              </m:r>
              <m:r>
                <m:rPr>
                  <m:sty m:val="p"/>
                </m:rPr>
                <w:rPr>
                  <w:rFonts w:ascii="Cambria Math" w:hAnsi="Cambria Math" w:eastAsia="Cambria Math" w:cs="Cambria Math"/>
                  <w:sz w:val="16"/>
                  <w:szCs w:val="16"/>
                </w:rPr>
                <m:t>N⋅m</m:t>
              </m:r>
            </m:oMath>
          </w:p>
        </w:tc>
      </w:tr>
      <w:tr w14:paraId="28B22819">
        <w:trPr>
          <w:cantSplit/>
        </w:trPr>
        <w:tc>
          <w:tcPr>
            <w:tcW w:w="1622" w:type="dxa"/>
          </w:tcPr>
          <w:p w14:paraId="19F7AEBE">
            <w:pPr>
              <w:pStyle w:val="26"/>
              <w:keepNext/>
              <w:numPr>
                <w:ilvl w:val="0"/>
                <w:numId w:val="0"/>
              </w:numPr>
              <w:snapToGrid w:val="0"/>
              <w:spacing w:before="0" w:after="0" w:line="240" w:lineRule="auto"/>
              <w:rPr>
                <w:sz w:val="16"/>
              </w:rPr>
            </w:pPr>
            <w:r>
              <w:rPr>
                <w:rFonts w:hint="eastAsia"/>
                <w:sz w:val="16"/>
                <w:szCs w:val="16"/>
              </w:rPr>
              <w:t>主端姿态编码器</w:t>
            </w:r>
          </w:p>
        </w:tc>
        <w:tc>
          <w:tcPr>
            <w:tcW w:w="1622" w:type="dxa"/>
          </w:tcPr>
          <w:p w14:paraId="1339214F">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MT6701</w:t>
            </w:r>
          </w:p>
        </w:tc>
        <w:tc>
          <w:tcPr>
            <w:tcW w:w="1622" w:type="dxa"/>
          </w:tcPr>
          <w:p w14:paraId="5F72FEC2">
            <w:pPr>
              <w:pStyle w:val="26"/>
              <w:keepNext/>
              <w:numPr>
                <w:ilvl w:val="0"/>
                <w:numId w:val="0"/>
              </w:numPr>
              <w:snapToGrid w:val="0"/>
              <w:spacing w:before="0" w:after="0" w:line="240" w:lineRule="auto"/>
              <w:rPr>
                <w:sz w:val="16"/>
              </w:rPr>
            </w:pPr>
            <w:r>
              <w:rPr>
                <w:sz w:val="16"/>
                <w:szCs w:val="16"/>
              </w:rPr>
              <w:t xml:space="preserve">14 bit </w:t>
            </w:r>
            <w:r>
              <w:rPr>
                <w:rFonts w:hint="eastAsia"/>
                <w:sz w:val="16"/>
                <w:szCs w:val="16"/>
              </w:rPr>
              <w:t>输出分辨率</w:t>
            </w:r>
          </w:p>
        </w:tc>
      </w:tr>
      <w:tr w14:paraId="5D2630B2">
        <w:trPr>
          <w:cantSplit/>
        </w:trPr>
        <w:tc>
          <w:tcPr>
            <w:tcW w:w="1622" w:type="dxa"/>
          </w:tcPr>
          <w:p w14:paraId="07166F5E">
            <w:pPr>
              <w:pStyle w:val="26"/>
              <w:keepNext/>
              <w:numPr>
                <w:ilvl w:val="0"/>
                <w:numId w:val="0"/>
              </w:numPr>
              <w:snapToGrid w:val="0"/>
              <w:spacing w:before="0" w:after="0" w:line="240" w:lineRule="auto"/>
              <w:rPr>
                <w:sz w:val="16"/>
              </w:rPr>
            </w:pPr>
            <w:r>
              <w:rPr>
                <w:rFonts w:hint="eastAsia"/>
                <w:sz w:val="16"/>
                <w:szCs w:val="16"/>
              </w:rPr>
              <w:t>激光测距</w:t>
            </w:r>
          </w:p>
        </w:tc>
        <w:tc>
          <w:tcPr>
            <w:tcW w:w="1622" w:type="dxa"/>
          </w:tcPr>
          <w:p w14:paraId="358500BB">
            <w:pPr>
              <w:pStyle w:val="26"/>
              <w:keepNext/>
              <w:numPr>
                <w:ilvl w:val="0"/>
                <w:numId w:val="0"/>
              </w:numPr>
              <w:snapToGrid w:val="0"/>
              <w:spacing w:before="0" w:after="0" w:line="240" w:lineRule="auto"/>
              <w:rPr>
                <w:sz w:val="16"/>
              </w:rPr>
            </w:pPr>
            <w:r>
              <w:rPr>
                <w:sz w:val="16"/>
                <w:szCs w:val="16"/>
              </w:rPr>
              <w:t xml:space="preserve">2 </w:t>
            </w:r>
            <w:r>
              <w:rPr>
                <w:rFonts w:hint="eastAsia"/>
                <w:sz w:val="16"/>
                <w:szCs w:val="16"/>
              </w:rPr>
              <w:t>个</w:t>
            </w:r>
            <w:r>
              <w:rPr>
                <w:sz w:val="16"/>
                <w:szCs w:val="16"/>
              </w:rPr>
              <w:t xml:space="preserve"> ATK-MS530L0M</w:t>
            </w:r>
          </w:p>
        </w:tc>
        <w:tc>
          <w:tcPr>
            <w:tcW w:w="1622" w:type="dxa"/>
          </w:tcPr>
          <w:p w14:paraId="44447E48">
            <w:pPr>
              <w:pStyle w:val="26"/>
              <w:keepNext/>
              <w:numPr>
                <w:ilvl w:val="0"/>
                <w:numId w:val="0"/>
              </w:numPr>
              <w:snapToGrid w:val="0"/>
              <w:spacing w:before="0" w:after="0" w:line="240" w:lineRule="auto"/>
              <w:rPr>
                <w:sz w:val="16"/>
              </w:rPr>
            </w:pPr>
            <w:r>
              <w:rPr>
                <w:rFonts w:hint="eastAsia"/>
                <w:sz w:val="16"/>
                <w:szCs w:val="16"/>
              </w:rPr>
              <w:t>量程</w:t>
            </w:r>
            <w:r>
              <w:rPr>
                <w:sz w:val="16"/>
                <w:szCs w:val="16"/>
              </w:rPr>
              <w:t xml:space="preserve"> </w:t>
            </w:r>
            <m:oMath>
              <m:r>
                <m:rPr/>
                <w:rPr>
                  <w:rFonts w:ascii="Cambria Math" w:hAnsi="Cambria Math" w:eastAsia="Cambria Math" w:cs="Cambria Math"/>
                  <w:sz w:val="16"/>
                  <w:szCs w:val="16"/>
                </w:rPr>
                <m:t>40</m:t>
              </m:r>
            </m:oMath>
            <w:r>
              <w:rPr>
                <w:sz w:val="16"/>
                <w:szCs w:val="16"/>
              </w:rPr>
              <w:t>–</w:t>
            </w:r>
            <m:oMath>
              <m:r>
                <m:rPr/>
                <w:rPr>
                  <w:rFonts w:ascii="Cambria Math" w:hAnsi="Cambria Math" w:eastAsia="Cambria Math" w:cs="Cambria Math"/>
                  <w:sz w:val="16"/>
                  <w:szCs w:val="16"/>
                </w:rPr>
                <m:t>1600 </m:t>
              </m:r>
              <m:r>
                <m:rPr>
                  <m:sty m:val="p"/>
                </m:rPr>
                <w:rPr>
                  <w:rFonts w:ascii="Cambria Math" w:hAnsi="Cambria Math" w:eastAsia="Cambria Math" w:cs="Cambria Math"/>
                  <w:sz w:val="16"/>
                  <w:szCs w:val="16"/>
                </w:rPr>
                <m:t>mm</m:t>
              </m:r>
            </m:oMath>
          </w:p>
        </w:tc>
      </w:tr>
      <w:tr w14:paraId="1600776B">
        <w:trPr>
          <w:cantSplit/>
        </w:trPr>
        <w:tc>
          <w:tcPr>
            <w:tcW w:w="1622" w:type="dxa"/>
          </w:tcPr>
          <w:p w14:paraId="3E5BA122">
            <w:pPr>
              <w:pStyle w:val="26"/>
              <w:keepNext/>
              <w:numPr>
                <w:ilvl w:val="0"/>
                <w:numId w:val="0"/>
              </w:numPr>
              <w:snapToGrid w:val="0"/>
              <w:spacing w:before="0" w:after="0" w:line="240" w:lineRule="auto"/>
              <w:rPr>
                <w:sz w:val="16"/>
              </w:rPr>
            </w:pPr>
            <w:r>
              <w:rPr>
                <w:rFonts w:hint="eastAsia"/>
                <w:sz w:val="16"/>
                <w:szCs w:val="16"/>
              </w:rPr>
              <w:t>主端平移驱动</w:t>
            </w:r>
          </w:p>
        </w:tc>
        <w:tc>
          <w:tcPr>
            <w:tcW w:w="1622" w:type="dxa"/>
          </w:tcPr>
          <w:p w14:paraId="7092C9B7">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M3508</w:t>
            </w:r>
          </w:p>
        </w:tc>
        <w:tc>
          <w:tcPr>
            <w:tcW w:w="1622" w:type="dxa"/>
          </w:tcPr>
          <w:p w14:paraId="64EBA95A">
            <w:pPr>
              <w:pStyle w:val="26"/>
              <w:keepNext/>
              <w:numPr>
                <w:ilvl w:val="0"/>
                <w:numId w:val="0"/>
              </w:numPr>
              <w:snapToGrid w:val="0"/>
              <w:spacing w:before="0" w:after="0" w:line="240" w:lineRule="auto"/>
              <w:rPr>
                <w:sz w:val="16"/>
              </w:rPr>
            </w:pPr>
            <w:r>
              <w:rPr>
                <w:rFonts w:hint="eastAsia"/>
                <w:sz w:val="16"/>
                <w:szCs w:val="16"/>
              </w:rPr>
              <w:t>用于</w:t>
            </w:r>
            <w:r>
              <w:rPr>
                <w:sz w:val="16"/>
                <w:szCs w:val="16"/>
              </w:rPr>
              <w:t xml:space="preserve"> Delta </w:t>
            </w:r>
            <w:r>
              <w:rPr>
                <w:rFonts w:hint="eastAsia"/>
                <w:sz w:val="16"/>
                <w:szCs w:val="16"/>
              </w:rPr>
              <w:t>机构</w:t>
            </w:r>
          </w:p>
        </w:tc>
      </w:tr>
      <w:tr w14:paraId="7B124303">
        <w:trPr>
          <w:cantSplit/>
        </w:trPr>
        <w:tc>
          <w:tcPr>
            <w:tcW w:w="1622" w:type="dxa"/>
          </w:tcPr>
          <w:p w14:paraId="0B0122BA">
            <w:pPr>
              <w:pStyle w:val="26"/>
              <w:keepNext w:val="0"/>
              <w:numPr>
                <w:ilvl w:val="0"/>
                <w:numId w:val="0"/>
              </w:numPr>
              <w:snapToGrid w:val="0"/>
              <w:spacing w:before="0" w:after="0" w:line="240" w:lineRule="auto"/>
              <w:rPr>
                <w:sz w:val="16"/>
              </w:rPr>
            </w:pPr>
            <w:r>
              <w:rPr>
                <w:rFonts w:hint="eastAsia"/>
                <w:sz w:val="16"/>
                <w:szCs w:val="16"/>
              </w:rPr>
              <w:t>软件部署</w:t>
            </w:r>
          </w:p>
        </w:tc>
        <w:tc>
          <w:tcPr>
            <w:tcW w:w="1622" w:type="dxa"/>
          </w:tcPr>
          <w:p w14:paraId="71D8E5AE">
            <w:pPr>
              <w:pStyle w:val="26"/>
              <w:keepNext w:val="0"/>
              <w:numPr>
                <w:ilvl w:val="0"/>
                <w:numId w:val="0"/>
              </w:numPr>
              <w:snapToGrid w:val="0"/>
              <w:spacing w:before="0" w:after="0" w:line="240" w:lineRule="auto"/>
              <w:rPr>
                <w:sz w:val="16"/>
              </w:rPr>
            </w:pPr>
            <w:r>
              <w:rPr>
                <w:sz w:val="16"/>
                <w:szCs w:val="16"/>
              </w:rPr>
              <w:t>ARM Cortex-M、C/C++</w:t>
            </w:r>
          </w:p>
        </w:tc>
        <w:tc>
          <w:tcPr>
            <w:tcW w:w="1622" w:type="dxa"/>
          </w:tcPr>
          <w:p w14:paraId="4BBFF232">
            <w:pPr>
              <w:pStyle w:val="26"/>
              <w:keepNext w:val="0"/>
              <w:numPr>
                <w:ilvl w:val="0"/>
                <w:numId w:val="0"/>
              </w:numPr>
              <w:snapToGrid w:val="0"/>
              <w:spacing w:before="0" w:after="0" w:line="240" w:lineRule="auto"/>
              <w:rPr>
                <w:sz w:val="16"/>
              </w:rPr>
            </w:pPr>
            <w:r>
              <w:rPr>
                <w:sz w:val="16"/>
                <w:szCs w:val="16"/>
              </w:rPr>
              <w:t>STM32CubeMX、CMake、Ninja</w:t>
            </w:r>
          </w:p>
        </w:tc>
      </w:tr>
    </w:tbl>
    <w:p w14:paraId="033A0211">
      <w:pPr>
        <w:pStyle w:val="7"/>
        <w:numPr>
          <w:ilvl w:val="0"/>
          <w:numId w:val="0"/>
        </w:numPr>
        <w:snapToGrid w:val="0"/>
        <w:rPr>
          <w:sz w:val="20"/>
        </w:rPr>
      </w:pPr>
      <w:r>
        <w:rPr>
          <w:rFonts w:hint="eastAsia"/>
          <w:sz w:val="20"/>
          <w:szCs w:val="20"/>
        </w:rPr>
        <w:t>软件框架分为配置层、操作系统抽象层、板级支持层、硬件抽象层、通用库和应用层等模块。报告使用</w:t>
      </w:r>
      <w:r>
        <w:rPr>
          <w:sz w:val="20"/>
          <w:szCs w:val="20"/>
        </w:rPr>
        <w:t xml:space="preserve"> MATLAB </w:t>
      </w:r>
      <w:r>
        <w:rPr>
          <w:rFonts w:hint="eastAsia"/>
          <w:sz w:val="20"/>
          <w:szCs w:val="20"/>
        </w:rPr>
        <w:t>进行符号推导与运动学可视化，使用</w:t>
      </w:r>
      <w:r>
        <w:rPr>
          <w:sz w:val="20"/>
          <w:szCs w:val="20"/>
        </w:rPr>
        <w:t xml:space="preserve"> CAD </w:t>
      </w:r>
      <w:r>
        <w:rPr>
          <w:rFonts w:hint="eastAsia"/>
          <w:sz w:val="20"/>
          <w:szCs w:val="20"/>
        </w:rPr>
        <w:t>参数建立动力学模型，再部署至嵌入式控制器。具体</w:t>
      </w:r>
      <w:r>
        <w:rPr>
          <w:sz w:val="20"/>
          <w:szCs w:val="20"/>
        </w:rPr>
        <w:t xml:space="preserve"> MCU </w:t>
      </w:r>
      <w:r>
        <w:rPr>
          <w:rFonts w:hint="eastAsia"/>
          <w:sz w:val="20"/>
          <w:szCs w:val="20"/>
        </w:rPr>
        <w:t>型号、控制周期、无线链路频率、PID</w:t>
      </w:r>
      <w:r>
        <w:rPr>
          <w:sz w:val="20"/>
          <w:szCs w:val="20"/>
        </w:rPr>
        <w:t xml:space="preserve"> </w:t>
      </w:r>
      <w:r>
        <w:rPr>
          <w:rFonts w:hint="eastAsia"/>
          <w:sz w:val="20"/>
          <w:szCs w:val="20"/>
        </w:rPr>
        <w:t>增益、TD</w:t>
      </w:r>
      <w:r>
        <w:rPr>
          <w:sz w:val="20"/>
          <w:szCs w:val="20"/>
        </w:rPr>
        <w:t xml:space="preserve"> </w:t>
      </w:r>
      <w:r>
        <w:rPr>
          <w:rFonts w:hint="eastAsia"/>
          <w:sz w:val="20"/>
          <w:szCs w:val="20"/>
        </w:rPr>
        <w:t>参数和全部惯性参数未完整列出，因而当前只能复现方法结构，尚不能精确复现实机响应。</w:t>
      </w:r>
    </w:p>
    <w:p w14:paraId="3F145357">
      <w:pPr>
        <w:pStyle w:val="7"/>
        <w:numPr>
          <w:ilvl w:val="0"/>
          <w:numId w:val="0"/>
        </w:numPr>
        <w:snapToGrid w:val="0"/>
        <w:rPr>
          <w:sz w:val="20"/>
        </w:rPr>
      </w:pPr>
      <w:r>
        <w:rPr>
          <w:rFonts w:hint="eastAsia"/>
          <w:sz w:val="20"/>
          <w:szCs w:val="20"/>
        </w:rPr>
        <w:t>现有对比设置为机械臂第一关节的</w:t>
      </w:r>
      <w:r>
        <w:rPr>
          <w:sz w:val="20"/>
          <w:szCs w:val="20"/>
        </w:rPr>
        <w:t xml:space="preserve"> </w:t>
      </w:r>
      <m:oMath>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4 </m:t>
        </m:r>
        <m:r>
          <m:rPr>
            <m:sty m:val="p"/>
          </m:rPr>
          <w:rPr>
            <w:rFonts w:ascii="Cambria Math" w:hAnsi="Cambria Math" w:eastAsia="Cambria Math" w:cs="Cambria Math"/>
            <w:sz w:val="20"/>
            <w:szCs w:val="20"/>
          </w:rPr>
          <m:t>rad</m:t>
        </m:r>
      </m:oMath>
      <w:r>
        <w:rPr>
          <w:sz w:val="20"/>
          <w:szCs w:val="20"/>
        </w:rPr>
        <w:t xml:space="preserve"> </w:t>
      </w:r>
      <w:r>
        <w:rPr>
          <w:rFonts w:hint="eastAsia"/>
          <w:sz w:val="20"/>
          <w:szCs w:val="20"/>
        </w:rPr>
        <w:t>阶跃输入，比较单纯串级</w:t>
      </w:r>
      <w:r>
        <w:rPr>
          <w:sz w:val="20"/>
          <w:szCs w:val="20"/>
        </w:rPr>
        <w:t xml:space="preserve"> PID </w:t>
      </w:r>
      <w:r>
        <w:rPr>
          <w:rFonts w:hint="eastAsia"/>
          <w:sz w:val="20"/>
          <w:szCs w:val="20"/>
        </w:rPr>
        <w:t>与跟踪微分器（tracking</w:t>
      </w:r>
      <w:r>
        <w:rPr>
          <w:sz w:val="20"/>
          <w:szCs w:val="20"/>
        </w:rPr>
        <w:t xml:space="preserve"> </w:t>
      </w:r>
      <w:r>
        <w:rPr>
          <w:rFonts w:hint="eastAsia"/>
          <w:sz w:val="20"/>
          <w:szCs w:val="20"/>
        </w:rPr>
        <w:t>differentiator，TD）加串级</w:t>
      </w:r>
      <w:r>
        <w:rPr>
          <w:sz w:val="20"/>
          <w:szCs w:val="20"/>
        </w:rPr>
        <w:t xml:space="preserve"> </w:t>
      </w:r>
      <w:r>
        <w:rPr>
          <w:rFonts w:hint="eastAsia"/>
          <w:sz w:val="20"/>
          <w:szCs w:val="20"/>
        </w:rPr>
        <w:t>PID，后者用于平滑参考指令。底盘仿真记录包括台阶和减速带通过，实机记录包括基本运动、单边台阶、坡道自平衡和双级台阶功能。仿真、实机及上一代平台演示分别记录，不合并为同一实验条件。</w:t>
      </w:r>
    </w:p>
    <w:bookmarkEnd w:id="21"/>
    <w:p w14:paraId="1C693FF2">
      <w:pPr>
        <w:pStyle w:val="3"/>
        <w:numPr>
          <w:ilvl w:val="1"/>
          <w:numId w:val="0"/>
        </w:numPr>
        <w:snapToGrid w:val="0"/>
      </w:pPr>
      <w:bookmarkStart w:id="22" w:name="c.-结果与分析"/>
      <w:r>
        <w:t xml:space="preserve">C. </w:t>
      </w:r>
      <w:r>
        <w:rPr>
          <w:rFonts w:hint="eastAsia"/>
        </w:rPr>
        <w:t>结果与分析</w:t>
      </w:r>
    </w:p>
    <w:p w14:paraId="0834B484">
      <w:pPr>
        <w:pStyle w:val="7"/>
        <w:numPr>
          <w:ilvl w:val="0"/>
          <w:numId w:val="0"/>
        </w:numPr>
        <w:snapToGrid w:val="0"/>
        <w:rPr>
          <w:sz w:val="20"/>
        </w:rPr>
      </w:pPr>
      <w:r>
        <w:rPr>
          <w:rFonts w:hint="eastAsia"/>
          <w:sz w:val="20"/>
          <w:szCs w:val="20"/>
        </w:rPr>
        <w:t>已有结果及其证据范围汇总于</w:t>
      </w:r>
      <w:r>
        <w:rPr>
          <w:sz w:val="20"/>
          <w:szCs w:val="20"/>
        </w:rPr>
        <w:t xml:space="preserve"> TABLE IV。</w:t>
      </w:r>
    </w:p>
    <w:p w14:paraId="392A1BFE">
      <w:pPr>
        <w:pStyle w:val="28"/>
        <w:keepNext/>
        <w:numPr>
          <w:ilvl w:val="0"/>
          <w:numId w:val="0"/>
        </w:numPr>
        <w:snapToGrid w:val="0"/>
      </w:pPr>
      <w:r>
        <w:rPr>
          <w:bCs/>
        </w:rPr>
        <w:t xml:space="preserve">TABLE IV. </w:t>
      </w:r>
      <w:r>
        <w:rPr>
          <w:rFonts w:hint="eastAsia"/>
          <w:bCs/>
        </w:rPr>
        <w:t>已有实验记录及其证据范围</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2BC11444">
        <w:tblPrEx>
          <w:tblCellMar>
            <w:top w:w="0" w:type="dxa"/>
            <w:left w:w="108" w:type="dxa"/>
            <w:bottom w:w="0" w:type="dxa"/>
            <w:right w:w="108" w:type="dxa"/>
          </w:tblCellMar>
        </w:tblPrEx>
        <w:trPr>
          <w:cantSplit/>
          <w:tblHeader/>
        </w:trPr>
        <w:tc>
          <w:tcPr>
            <w:tcW w:w="1622" w:type="dxa"/>
          </w:tcPr>
          <w:p w14:paraId="3D89D116">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4D115597">
            <w:pPr>
              <w:pStyle w:val="24"/>
              <w:keepNext/>
              <w:numPr>
                <w:ilvl w:val="0"/>
                <w:numId w:val="0"/>
              </w:numPr>
              <w:snapToGrid w:val="0"/>
              <w:spacing w:before="0" w:after="0" w:line="240" w:lineRule="auto"/>
              <w:rPr>
                <w:sz w:val="16"/>
              </w:rPr>
            </w:pPr>
            <w:r>
              <w:rPr>
                <w:rFonts w:hint="eastAsia"/>
                <w:sz w:val="16"/>
                <w:szCs w:val="16"/>
              </w:rPr>
              <w:t>已有结果</w:t>
            </w:r>
          </w:p>
        </w:tc>
        <w:tc>
          <w:tcPr>
            <w:tcW w:w="1622" w:type="dxa"/>
          </w:tcPr>
          <w:p w14:paraId="3B17C247">
            <w:pPr>
              <w:pStyle w:val="24"/>
              <w:keepNext/>
              <w:numPr>
                <w:ilvl w:val="0"/>
                <w:numId w:val="0"/>
              </w:numPr>
              <w:snapToGrid w:val="0"/>
              <w:spacing w:before="0" w:after="0" w:line="240" w:lineRule="auto"/>
              <w:rPr>
                <w:sz w:val="16"/>
              </w:rPr>
            </w:pPr>
            <w:r>
              <w:rPr>
                <w:rFonts w:hint="eastAsia"/>
                <w:sz w:val="16"/>
                <w:szCs w:val="16"/>
              </w:rPr>
              <w:t>证据范围</w:t>
            </w:r>
          </w:p>
        </w:tc>
      </w:tr>
      <w:tr w14:paraId="40EBEBAE">
        <w:tblPrEx>
          <w:tblCellMar>
            <w:top w:w="0" w:type="dxa"/>
            <w:left w:w="108" w:type="dxa"/>
            <w:bottom w:w="0" w:type="dxa"/>
            <w:right w:w="108" w:type="dxa"/>
          </w:tblCellMar>
        </w:tblPrEx>
        <w:trPr>
          <w:cantSplit/>
        </w:trPr>
        <w:tc>
          <w:tcPr>
            <w:tcW w:w="1622" w:type="dxa"/>
          </w:tcPr>
          <w:p w14:paraId="12D5C437">
            <w:pPr>
              <w:pStyle w:val="26"/>
              <w:keepNext/>
              <w:numPr>
                <w:ilvl w:val="0"/>
                <w:numId w:val="0"/>
              </w:numPr>
              <w:snapToGrid w:val="0"/>
              <w:spacing w:before="0" w:after="0" w:line="240" w:lineRule="auto"/>
              <w:rPr>
                <w:sz w:val="16"/>
              </w:rPr>
            </w:pPr>
            <w:r>
              <w:rPr>
                <w:rFonts w:hint="eastAsia"/>
                <w:sz w:val="16"/>
                <w:szCs w:val="16"/>
              </w:rPr>
              <w:t>关节阶跃：串级</w:t>
            </w:r>
            <w:r>
              <w:rPr>
                <w:sz w:val="16"/>
                <w:szCs w:val="16"/>
              </w:rPr>
              <w:t xml:space="preserve"> PID</w:t>
            </w:r>
          </w:p>
        </w:tc>
        <w:tc>
          <w:tcPr>
            <w:tcW w:w="1622" w:type="dxa"/>
          </w:tcPr>
          <w:p w14:paraId="718AE19D">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0.89 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A28E620">
            <w:pPr>
              <w:pStyle w:val="26"/>
              <w:keepNext/>
              <w:numPr>
                <w:ilvl w:val="0"/>
                <w:numId w:val="0"/>
              </w:numPr>
              <w:snapToGrid w:val="0"/>
              <w:spacing w:before="0" w:after="0" w:line="240" w:lineRule="auto"/>
              <w:rPr>
                <w:sz w:val="16"/>
              </w:rPr>
            </w:pPr>
            <w:r>
              <w:rPr>
                <w:rFonts w:hint="eastAsia"/>
                <w:sz w:val="16"/>
                <w:szCs w:val="16"/>
              </w:rPr>
              <w:t>报告第</w:t>
            </w:r>
            <w:r>
              <w:rPr>
                <w:sz w:val="16"/>
                <w:szCs w:val="16"/>
              </w:rPr>
              <w:t xml:space="preserve"> 41 </w:t>
            </w:r>
            <w:r>
              <w:rPr>
                <w:rFonts w:hint="eastAsia"/>
                <w:sz w:val="16"/>
                <w:szCs w:val="16"/>
              </w:rPr>
              <w:t>页，误差带未定义</w:t>
            </w:r>
          </w:p>
        </w:tc>
      </w:tr>
      <w:tr w14:paraId="769F3B4C">
        <w:tblPrEx>
          <w:tblCellMar>
            <w:top w:w="0" w:type="dxa"/>
            <w:left w:w="108" w:type="dxa"/>
            <w:bottom w:w="0" w:type="dxa"/>
            <w:right w:w="108" w:type="dxa"/>
          </w:tblCellMar>
        </w:tblPrEx>
        <w:trPr>
          <w:cantSplit/>
        </w:trPr>
        <w:tc>
          <w:tcPr>
            <w:tcW w:w="1622" w:type="dxa"/>
          </w:tcPr>
          <w:p w14:paraId="339CEDA7">
            <w:pPr>
              <w:pStyle w:val="26"/>
              <w:keepNext/>
              <w:numPr>
                <w:ilvl w:val="0"/>
                <w:numId w:val="0"/>
              </w:numPr>
              <w:snapToGrid w:val="0"/>
              <w:spacing w:before="0" w:after="0" w:line="240" w:lineRule="auto"/>
              <w:rPr>
                <w:sz w:val="16"/>
              </w:rPr>
            </w:pPr>
            <w:r>
              <w:rPr>
                <w:rFonts w:hint="eastAsia"/>
                <w:sz w:val="16"/>
                <w:szCs w:val="16"/>
              </w:rPr>
              <w:t>关节阶跃：TD</w:t>
            </w:r>
            <w:r>
              <w:rPr>
                <w:sz w:val="16"/>
                <w:szCs w:val="16"/>
              </w:rPr>
              <w:t xml:space="preserve"> </w:t>
            </w:r>
            <w:r>
              <w:rPr>
                <w:rFonts w:hint="eastAsia"/>
                <w:sz w:val="16"/>
                <w:szCs w:val="16"/>
              </w:rPr>
              <w:t>加串级</w:t>
            </w:r>
            <w:r>
              <w:rPr>
                <w:sz w:val="16"/>
                <w:szCs w:val="16"/>
              </w:rPr>
              <w:t xml:space="preserve"> PID</w:t>
            </w:r>
          </w:p>
        </w:tc>
        <w:tc>
          <w:tcPr>
            <w:tcW w:w="1622" w:type="dxa"/>
          </w:tcPr>
          <w:p w14:paraId="78BAC050">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0.51 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FAE05E4">
            <w:pPr>
              <w:pStyle w:val="26"/>
              <w:keepNext/>
              <w:numPr>
                <w:ilvl w:val="0"/>
                <w:numId w:val="0"/>
              </w:numPr>
              <w:snapToGrid w:val="0"/>
              <w:spacing w:before="0" w:after="0" w:line="240" w:lineRule="auto"/>
              <w:rPr>
                <w:sz w:val="16"/>
              </w:rPr>
            </w:pPr>
            <w:r>
              <w:rPr>
                <w:rFonts w:hint="eastAsia"/>
                <w:sz w:val="16"/>
                <w:szCs w:val="16"/>
              </w:rPr>
              <w:t>同一页对比图，缺原始日志</w:t>
            </w:r>
          </w:p>
        </w:tc>
      </w:tr>
      <w:tr w14:paraId="2A23F24E">
        <w:trPr>
          <w:cantSplit/>
        </w:trPr>
        <w:tc>
          <w:tcPr>
            <w:tcW w:w="1622" w:type="dxa"/>
          </w:tcPr>
          <w:p w14:paraId="78C6C43F">
            <w:pPr>
              <w:pStyle w:val="26"/>
              <w:keepNext/>
              <w:numPr>
                <w:ilvl w:val="0"/>
                <w:numId w:val="0"/>
              </w:numPr>
              <w:snapToGrid w:val="0"/>
              <w:spacing w:before="0" w:after="0" w:line="240" w:lineRule="auto"/>
              <w:rPr>
                <w:sz w:val="16"/>
              </w:rPr>
            </w:pPr>
            <w:r>
              <w:rPr>
                <w:rFonts w:hint="eastAsia"/>
                <w:sz w:val="16"/>
                <w:szCs w:val="16"/>
              </w:rPr>
              <w:t>底盘台阶通过</w:t>
            </w:r>
          </w:p>
        </w:tc>
        <w:tc>
          <w:tcPr>
            <w:tcW w:w="1622" w:type="dxa"/>
          </w:tcPr>
          <w:p w14:paraId="693EEE2A">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200 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台阶</w:t>
            </w:r>
          </w:p>
        </w:tc>
        <w:tc>
          <w:tcPr>
            <w:tcW w:w="1622" w:type="dxa"/>
          </w:tcPr>
          <w:p w14:paraId="66C5061B">
            <w:pPr>
              <w:pStyle w:val="26"/>
              <w:keepNext/>
              <w:numPr>
                <w:ilvl w:val="0"/>
                <w:numId w:val="0"/>
              </w:numPr>
              <w:snapToGrid w:val="0"/>
              <w:spacing w:before="0" w:after="0" w:line="240" w:lineRule="auto"/>
              <w:rPr>
                <w:sz w:val="16"/>
              </w:rPr>
            </w:pPr>
            <w:r>
              <w:rPr>
                <w:rFonts w:hint="eastAsia"/>
                <w:sz w:val="16"/>
                <w:szCs w:val="16"/>
              </w:rPr>
              <w:t>仿真记录，非实机高度结论</w:t>
            </w:r>
          </w:p>
        </w:tc>
      </w:tr>
      <w:tr w14:paraId="20114E75">
        <w:tblPrEx>
          <w:tblCellMar>
            <w:top w:w="0" w:type="dxa"/>
            <w:left w:w="108" w:type="dxa"/>
            <w:bottom w:w="0" w:type="dxa"/>
            <w:right w:w="108" w:type="dxa"/>
          </w:tblCellMar>
        </w:tblPrEx>
        <w:trPr>
          <w:cantSplit/>
        </w:trPr>
        <w:tc>
          <w:tcPr>
            <w:tcW w:w="1622" w:type="dxa"/>
          </w:tcPr>
          <w:p w14:paraId="4755FF44">
            <w:pPr>
              <w:pStyle w:val="26"/>
              <w:keepNext/>
              <w:numPr>
                <w:ilvl w:val="0"/>
                <w:numId w:val="0"/>
              </w:numPr>
              <w:snapToGrid w:val="0"/>
              <w:spacing w:before="0" w:after="0" w:line="240" w:lineRule="auto"/>
              <w:rPr>
                <w:sz w:val="16"/>
              </w:rPr>
            </w:pPr>
            <w:r>
              <w:rPr>
                <w:rFonts w:hint="eastAsia"/>
                <w:sz w:val="16"/>
                <w:szCs w:val="16"/>
              </w:rPr>
              <w:t>底盘减速带通过</w:t>
            </w:r>
          </w:p>
        </w:tc>
        <w:tc>
          <w:tcPr>
            <w:tcW w:w="1622" w:type="dxa"/>
          </w:tcPr>
          <w:p w14:paraId="7ADCC276">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70 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减速带</w:t>
            </w:r>
          </w:p>
        </w:tc>
        <w:tc>
          <w:tcPr>
            <w:tcW w:w="1622" w:type="dxa"/>
          </w:tcPr>
          <w:p w14:paraId="7B0AB155">
            <w:pPr>
              <w:pStyle w:val="26"/>
              <w:keepNext/>
              <w:numPr>
                <w:ilvl w:val="0"/>
                <w:numId w:val="0"/>
              </w:numPr>
              <w:snapToGrid w:val="0"/>
              <w:spacing w:before="0" w:after="0" w:line="240" w:lineRule="auto"/>
              <w:rPr>
                <w:sz w:val="16"/>
              </w:rPr>
            </w:pPr>
            <w:r>
              <w:rPr>
                <w:rFonts w:hint="eastAsia"/>
                <w:sz w:val="16"/>
                <w:szCs w:val="16"/>
              </w:rPr>
              <w:t>仿真记录，缺重复次数</w:t>
            </w:r>
          </w:p>
        </w:tc>
      </w:tr>
      <w:tr w14:paraId="332AE489">
        <w:tblPrEx>
          <w:tblCellMar>
            <w:top w:w="0" w:type="dxa"/>
            <w:left w:w="108" w:type="dxa"/>
            <w:bottom w:w="0" w:type="dxa"/>
            <w:right w:w="108" w:type="dxa"/>
          </w:tblCellMar>
        </w:tblPrEx>
        <w:trPr>
          <w:cantSplit/>
        </w:trPr>
        <w:tc>
          <w:tcPr>
            <w:tcW w:w="1622" w:type="dxa"/>
          </w:tcPr>
          <w:p w14:paraId="227A561F">
            <w:pPr>
              <w:pStyle w:val="26"/>
              <w:keepNext/>
              <w:numPr>
                <w:ilvl w:val="0"/>
                <w:numId w:val="0"/>
              </w:numPr>
              <w:snapToGrid w:val="0"/>
              <w:spacing w:before="0" w:after="0" w:line="240" w:lineRule="auto"/>
              <w:rPr>
                <w:sz w:val="16"/>
              </w:rPr>
            </w:pPr>
            <w:r>
              <w:rPr>
                <w:rFonts w:hint="eastAsia"/>
                <w:sz w:val="16"/>
                <w:szCs w:val="16"/>
              </w:rPr>
              <w:t>实机姿态与越障</w:t>
            </w:r>
          </w:p>
        </w:tc>
        <w:tc>
          <w:tcPr>
            <w:tcW w:w="1622" w:type="dxa"/>
          </w:tcPr>
          <w:p w14:paraId="42CA6944">
            <w:pPr>
              <w:pStyle w:val="26"/>
              <w:keepNext/>
              <w:numPr>
                <w:ilvl w:val="0"/>
                <w:numId w:val="0"/>
              </w:numPr>
              <w:snapToGrid w:val="0"/>
              <w:spacing w:before="0" w:after="0" w:line="240" w:lineRule="auto"/>
              <w:rPr>
                <w:sz w:val="16"/>
              </w:rPr>
            </w:pPr>
            <w:r>
              <w:rPr>
                <w:rFonts w:hint="eastAsia"/>
                <w:sz w:val="16"/>
                <w:szCs w:val="16"/>
              </w:rPr>
              <w:t>单边台阶、坡道、双级台阶演示</w:t>
            </w:r>
          </w:p>
        </w:tc>
        <w:tc>
          <w:tcPr>
            <w:tcW w:w="1622" w:type="dxa"/>
          </w:tcPr>
          <w:p w14:paraId="59900D16">
            <w:pPr>
              <w:pStyle w:val="26"/>
              <w:keepNext/>
              <w:numPr>
                <w:ilvl w:val="0"/>
                <w:numId w:val="0"/>
              </w:numPr>
              <w:snapToGrid w:val="0"/>
              <w:spacing w:before="0" w:after="0" w:line="240" w:lineRule="auto"/>
              <w:rPr>
                <w:sz w:val="16"/>
              </w:rPr>
            </w:pPr>
            <w:r>
              <w:rPr>
                <w:rFonts w:hint="eastAsia"/>
                <w:sz w:val="16"/>
                <w:szCs w:val="16"/>
              </w:rPr>
              <w:t>未给台阶高度及姿态误差</w:t>
            </w:r>
          </w:p>
        </w:tc>
      </w:tr>
      <w:tr w14:paraId="6247A5D3">
        <w:tblPrEx>
          <w:tblCellMar>
            <w:top w:w="0" w:type="dxa"/>
            <w:left w:w="108" w:type="dxa"/>
            <w:bottom w:w="0" w:type="dxa"/>
            <w:right w:w="108" w:type="dxa"/>
          </w:tblCellMar>
        </w:tblPrEx>
        <w:trPr>
          <w:cantSplit/>
        </w:trPr>
        <w:tc>
          <w:tcPr>
            <w:tcW w:w="1622" w:type="dxa"/>
          </w:tcPr>
          <w:p w14:paraId="18DC4194">
            <w:pPr>
              <w:pStyle w:val="26"/>
              <w:keepNext/>
              <w:numPr>
                <w:ilvl w:val="0"/>
                <w:numId w:val="0"/>
              </w:numPr>
              <w:snapToGrid w:val="0"/>
              <w:spacing w:before="0" w:after="0" w:line="240" w:lineRule="auto"/>
              <w:rPr>
                <w:sz w:val="16"/>
              </w:rPr>
            </w:pPr>
            <w:r>
              <w:rPr>
                <w:sz w:val="16"/>
                <w:szCs w:val="16"/>
              </w:rPr>
              <w:t xml:space="preserve">Delta </w:t>
            </w:r>
            <w:r>
              <w:rPr>
                <w:rFonts w:hint="eastAsia"/>
                <w:sz w:val="16"/>
                <w:szCs w:val="16"/>
              </w:rPr>
              <w:t>主端</w:t>
            </w:r>
          </w:p>
        </w:tc>
        <w:tc>
          <w:tcPr>
            <w:tcW w:w="1622" w:type="dxa"/>
          </w:tcPr>
          <w:p w14:paraId="0850C737">
            <w:pPr>
              <w:pStyle w:val="26"/>
              <w:keepNext/>
              <w:numPr>
                <w:ilvl w:val="0"/>
                <w:numId w:val="0"/>
              </w:numPr>
              <w:snapToGrid w:val="0"/>
              <w:spacing w:before="0" w:after="0" w:line="240" w:lineRule="auto"/>
              <w:rPr>
                <w:sz w:val="16"/>
              </w:rPr>
            </w:pPr>
            <w:r>
              <w:rPr>
                <w:rFonts w:hint="eastAsia"/>
                <w:sz w:val="16"/>
                <w:szCs w:val="16"/>
              </w:rPr>
              <w:t>正逆解验证、重力补偿演示</w:t>
            </w:r>
          </w:p>
        </w:tc>
        <w:tc>
          <w:tcPr>
            <w:tcW w:w="1622" w:type="dxa"/>
          </w:tcPr>
          <w:p w14:paraId="73108239">
            <w:pPr>
              <w:pStyle w:val="26"/>
              <w:keepNext/>
              <w:numPr>
                <w:ilvl w:val="0"/>
                <w:numId w:val="0"/>
              </w:numPr>
              <w:snapToGrid w:val="0"/>
              <w:spacing w:before="0" w:after="0" w:line="240" w:lineRule="auto"/>
              <w:rPr>
                <w:sz w:val="16"/>
              </w:rPr>
            </w:pPr>
            <w:r>
              <w:rPr>
                <w:rFonts w:hint="eastAsia"/>
                <w:sz w:val="16"/>
                <w:szCs w:val="16"/>
              </w:rPr>
              <w:t>缺位置误差与残余力数据</w:t>
            </w:r>
          </w:p>
        </w:tc>
      </w:tr>
      <w:tr w14:paraId="0352115F">
        <w:trPr>
          <w:cantSplit/>
        </w:trPr>
        <w:tc>
          <w:tcPr>
            <w:tcW w:w="1622" w:type="dxa"/>
          </w:tcPr>
          <w:p w14:paraId="30745B32">
            <w:pPr>
              <w:pStyle w:val="26"/>
              <w:keepNext/>
              <w:numPr>
                <w:ilvl w:val="0"/>
                <w:numId w:val="0"/>
              </w:numPr>
              <w:snapToGrid w:val="0"/>
              <w:spacing w:before="0" w:after="0" w:line="240" w:lineRule="auto"/>
              <w:rPr>
                <w:sz w:val="16"/>
              </w:rPr>
            </w:pPr>
            <w:r>
              <w:rPr>
                <w:rFonts w:hint="eastAsia"/>
                <w:sz w:val="16"/>
                <w:szCs w:val="16"/>
              </w:rPr>
              <w:t>机械臂重力悬停</w:t>
            </w:r>
          </w:p>
        </w:tc>
        <w:tc>
          <w:tcPr>
            <w:tcW w:w="1622" w:type="dxa"/>
          </w:tcPr>
          <w:p w14:paraId="5CB82496">
            <w:pPr>
              <w:pStyle w:val="26"/>
              <w:keepNext/>
              <w:numPr>
                <w:ilvl w:val="0"/>
                <w:numId w:val="0"/>
              </w:numPr>
              <w:snapToGrid w:val="0"/>
              <w:spacing w:before="0" w:after="0" w:line="240" w:lineRule="auto"/>
              <w:rPr>
                <w:sz w:val="16"/>
              </w:rPr>
            </w:pPr>
            <w:r>
              <w:rPr>
                <w:rFonts w:hint="eastAsia"/>
                <w:sz w:val="16"/>
                <w:szCs w:val="16"/>
              </w:rPr>
              <w:t>多姿态悬停演示</w:t>
            </w:r>
          </w:p>
        </w:tc>
        <w:tc>
          <w:tcPr>
            <w:tcW w:w="1622" w:type="dxa"/>
          </w:tcPr>
          <w:p w14:paraId="52A26092">
            <w:pPr>
              <w:pStyle w:val="26"/>
              <w:keepNext/>
              <w:numPr>
                <w:ilvl w:val="0"/>
                <w:numId w:val="0"/>
              </w:numPr>
              <w:snapToGrid w:val="0"/>
              <w:spacing w:before="0" w:after="0" w:line="240" w:lineRule="auto"/>
              <w:rPr>
                <w:sz w:val="16"/>
              </w:rPr>
            </w:pPr>
            <w:r>
              <w:rPr>
                <w:rFonts w:hint="eastAsia"/>
                <w:sz w:val="16"/>
                <w:szCs w:val="16"/>
              </w:rPr>
              <w:t>报告明确使用上一代平台</w:t>
            </w:r>
          </w:p>
        </w:tc>
      </w:tr>
      <w:tr w14:paraId="4B036037">
        <w:tblPrEx>
          <w:tblCellMar>
            <w:top w:w="0" w:type="dxa"/>
            <w:left w:w="108" w:type="dxa"/>
            <w:bottom w:w="0" w:type="dxa"/>
            <w:right w:w="108" w:type="dxa"/>
          </w:tblCellMar>
        </w:tblPrEx>
        <w:trPr>
          <w:cantSplit/>
        </w:trPr>
        <w:tc>
          <w:tcPr>
            <w:tcW w:w="1622" w:type="dxa"/>
          </w:tcPr>
          <w:p w14:paraId="01926F91">
            <w:pPr>
              <w:pStyle w:val="26"/>
              <w:keepNext w:val="0"/>
              <w:numPr>
                <w:ilvl w:val="0"/>
                <w:numId w:val="0"/>
              </w:numPr>
              <w:snapToGrid w:val="0"/>
              <w:spacing w:before="0" w:after="0" w:line="240" w:lineRule="auto"/>
              <w:rPr>
                <w:sz w:val="16"/>
              </w:rPr>
            </w:pPr>
            <w:r>
              <w:rPr>
                <w:rFonts w:hint="eastAsia"/>
                <w:sz w:val="16"/>
                <w:szCs w:val="16"/>
              </w:rPr>
              <w:t>整机能耗与末端精度</w:t>
            </w:r>
          </w:p>
        </w:tc>
        <w:tc>
          <w:tcPr>
            <w:tcW w:w="1622" w:type="dxa"/>
          </w:tcPr>
          <w:p w14:paraId="2EA1E5A7">
            <w:pPr>
              <w:pStyle w:val="26"/>
              <w:keepNext w:val="0"/>
              <w:numPr>
                <w:ilvl w:val="0"/>
                <w:numId w:val="0"/>
              </w:numPr>
              <w:snapToGrid w:val="0"/>
              <w:spacing w:before="0" w:after="0" w:line="240" w:lineRule="auto"/>
              <w:rPr>
                <w:sz w:val="16"/>
              </w:rPr>
            </w:pPr>
            <w:r>
              <w:rPr>
                <w:sz w:val="16"/>
                <w:szCs w:val="16"/>
              </w:rPr>
              <w:t>—</w:t>
            </w:r>
          </w:p>
        </w:tc>
        <w:tc>
          <w:tcPr>
            <w:tcW w:w="1622" w:type="dxa"/>
          </w:tcPr>
          <w:p w14:paraId="5A210D7A">
            <w:pPr>
              <w:pStyle w:val="26"/>
              <w:keepNext w:val="0"/>
              <w:numPr>
                <w:ilvl w:val="0"/>
                <w:numId w:val="0"/>
              </w:numPr>
              <w:snapToGrid w:val="0"/>
              <w:spacing w:before="0" w:after="0" w:line="240" w:lineRule="auto"/>
              <w:rPr>
                <w:sz w:val="16"/>
              </w:rPr>
            </w:pPr>
            <w:r>
              <w:rPr>
                <w:rFonts w:hint="eastAsia"/>
                <w:sz w:val="16"/>
                <w:szCs w:val="16"/>
              </w:rPr>
              <w:t>待补测</w:t>
            </w:r>
          </w:p>
        </w:tc>
      </w:tr>
    </w:tbl>
    <w:p w14:paraId="327B4D9E">
      <w:pPr>
        <w:pStyle w:val="7"/>
        <w:numPr>
          <w:ilvl w:val="0"/>
          <w:numId w:val="0"/>
        </w:numPr>
        <w:snapToGrid w:val="0"/>
        <w:rPr>
          <w:sz w:val="20"/>
        </w:rPr>
      </w:pPr>
      <w:r>
        <w:rPr>
          <w:rFonts w:hint="eastAsia"/>
          <w:sz w:val="20"/>
          <w:szCs w:val="20"/>
        </w:rPr>
        <w:t>按报告给出的稳定时间估算，TD</w:t>
      </w:r>
      <w:r>
        <w:rPr>
          <w:sz w:val="20"/>
          <w:szCs w:val="20"/>
        </w:rPr>
        <w:t xml:space="preserve"> </w:t>
      </w:r>
      <w:r>
        <w:rPr>
          <w:rFonts w:hint="eastAsia"/>
          <w:sz w:val="20"/>
          <w:szCs w:val="20"/>
        </w:rPr>
        <w:t>加串级</w:t>
      </w:r>
      <w:r>
        <w:rPr>
          <w:sz w:val="20"/>
          <w:szCs w:val="20"/>
        </w:rPr>
        <w:t xml:space="preserve"> PID </w:t>
      </w:r>
      <w:r>
        <w:rPr>
          <w:rFonts w:hint="eastAsia"/>
          <w:sz w:val="20"/>
          <w:szCs w:val="20"/>
        </w:rPr>
        <w:t>相对于单纯串级</w:t>
      </w:r>
      <w:r>
        <w:rPr>
          <w:sz w:val="20"/>
          <w:szCs w:val="20"/>
        </w:rPr>
        <w:t xml:space="preserve"> PID </w:t>
      </w:r>
      <w:r>
        <w:rPr>
          <w:rFonts w:hint="eastAsia"/>
          <w:sz w:val="20"/>
          <w:szCs w:val="20"/>
        </w:rPr>
        <w:t>的时间缩短比例为</w:t>
      </w:r>
    </w:p>
    <w:tbl>
      <w:tblPr>
        <w:tblStyle w:val="10"/>
        <w:tblW w:w="4866" w:type="dxa"/>
        <w:tblCaption w:val="Equation 3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3ED9C8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CC525B8">
            <w:pPr>
              <w:pStyle w:val="17"/>
              <w:numPr>
                <w:ilvl w:val="0"/>
                <w:numId w:val="0"/>
              </w:numPr>
              <w:snapToGrid w:val="0"/>
              <w:spacing w:before="100" w:after="100" w:line="240" w:lineRule="auto"/>
              <w:ind w:left="0" w:right="0" w:firstLine="0"/>
              <w:jc w:val="center"/>
              <w:rPr>
                <w:sz w:val="18"/>
              </w:rPr>
            </w:pPr>
            <m:oMathPara>
              <m:oMathParaPr>
                <m:jc m:val="center"/>
              </m:oMathParaPr>
              <m:oMath>
                <m:f>
                  <m:fPr/>
                  <m:num>
                    <m:r>
                      <m:rPr/>
                      <w:rPr>
                        <w:rFonts w:ascii="Cambria Math" w:hAnsi="Cambria Math" w:eastAsia="Cambria Math" w:cs="Cambria Math"/>
                        <w:sz w:val="18"/>
                        <w:szCs w:val="18"/>
                      </w:rPr>
                      <m:t>0.89</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0.51</m:t>
                    </m:r>
                  </m:num>
                  <m:den>
                    <m:r>
                      <m:rPr/>
                      <w:rPr>
                        <w:rFonts w:ascii="Cambria Math" w:hAnsi="Cambria Math" w:eastAsia="Cambria Math" w:cs="Cambria Math"/>
                        <w:sz w:val="18"/>
                        <w:szCs w:val="18"/>
                      </w:rPr>
                      <m:t>0.89</m:t>
                    </m:r>
                  </m:den>
                </m:f>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100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42.7</m:t>
                </m:r>
                <m:r>
                  <m:rPr>
                    <m:sty m:val="p"/>
                  </m:rPr>
                  <w:rPr>
                    <w:rFonts w:ascii="Cambria Math" w:hAnsi="Cambria Math" w:eastAsia="Cambria Math" w:cs="Cambria Math"/>
                    <w:sz w:val="18"/>
                    <w:szCs w:val="18"/>
                  </w:rPr>
                  <m:t>%.</m:t>
                </m:r>
              </m:oMath>
            </m:oMathPara>
          </w:p>
        </w:tc>
        <w:tc>
          <w:tcPr>
            <w:tcW w:w="390" w:type="dxa"/>
            <w:vAlign w:val="center"/>
          </w:tcPr>
          <w:p w14:paraId="31F2E847">
            <w:pPr>
              <w:numPr>
                <w:ilvl w:val="0"/>
                <w:numId w:val="0"/>
              </w:numPr>
              <w:snapToGrid w:val="0"/>
              <w:jc w:val="right"/>
              <w:rPr>
                <w:sz w:val="16"/>
              </w:rPr>
            </w:pPr>
            <w:r>
              <w:rPr>
                <w:sz w:val="16"/>
                <w:szCs w:val="16"/>
              </w:rPr>
              <w:t>(37)</w:t>
            </w:r>
          </w:p>
        </w:tc>
      </w:tr>
    </w:tbl>
    <w:p w14:paraId="059B1B3B">
      <w:pPr>
        <w:pStyle w:val="7"/>
        <w:numPr>
          <w:ilvl w:val="0"/>
          <w:numId w:val="0"/>
        </w:numPr>
        <w:snapToGrid w:val="0"/>
        <w:rPr>
          <w:sz w:val="20"/>
        </w:rPr>
      </w:pPr>
      <w:r>
        <w:rPr>
          <w:rFonts w:hint="eastAsia"/>
          <w:sz w:val="20"/>
          <w:szCs w:val="20"/>
        </w:rPr>
        <w:t>这一比例仅是报告两个近似读数的换算，支持该次测试中引入</w:t>
      </w:r>
      <w:r>
        <w:rPr>
          <w:sz w:val="20"/>
          <w:szCs w:val="20"/>
        </w:rPr>
        <w:t xml:space="preserve"> TD </w:t>
      </w:r>
      <w:r>
        <w:rPr>
          <w:rFonts w:hint="eastAsia"/>
          <w:sz w:val="20"/>
          <w:szCs w:val="20"/>
        </w:rPr>
        <w:t>后响应改善的观察。它不能替代相同误差带下的多次试验，也不能推出末端定位误差降低了相同比例。Fig.</w:t>
      </w:r>
      <w:r>
        <w:rPr>
          <w:sz w:val="20"/>
          <w:szCs w:val="20"/>
        </w:rPr>
        <w:t xml:space="preserve"> 8 </w:t>
      </w:r>
      <w:r>
        <w:rPr>
          <w:rFonts w:hint="eastAsia"/>
          <w:sz w:val="20"/>
          <w:szCs w:val="20"/>
        </w:rPr>
        <w:t>预留原始曲线重新导出的对比图。</w:t>
      </w:r>
    </w:p>
    <w:p w14:paraId="7D4CF53F">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2DC4DC32">
      <w:pPr>
        <w:pStyle w:val="18"/>
        <w:numPr>
          <w:ilvl w:val="0"/>
          <w:numId w:val="0"/>
        </w:numPr>
        <w:snapToGrid w:val="0"/>
      </w:pPr>
      <w:r>
        <w:rPr>
          <w:iCs/>
        </w:rPr>
        <w:t xml:space="preserve">Fig. 9. </w:t>
      </w:r>
      <w:r>
        <w:rPr>
          <w:rFonts w:hint="eastAsia"/>
          <w:iCs/>
        </w:rPr>
        <w:t>第一关节阶跃响应对比（留白；待提供带坐标、图例及误差带的清晰曲线）。</w:t>
      </w:r>
    </w:p>
    <w:p w14:paraId="1928D5FD">
      <w:pPr>
        <w:pStyle w:val="7"/>
        <w:numPr>
          <w:ilvl w:val="0"/>
          <w:numId w:val="0"/>
        </w:numPr>
        <w:snapToGrid w:val="0"/>
        <w:rPr>
          <w:sz w:val="20"/>
        </w:rPr>
      </w:pPr>
      <w:r>
        <w:rPr>
          <w:rFonts w:hint="eastAsia"/>
          <w:sz w:val="20"/>
          <w:szCs w:val="20"/>
        </w:rPr>
        <w:t>报告的版本记录显示，仿真阶段完成了静力学补偿、台阶与减速带通过，随后完成底盘装配、实机姿态调节及双级台阶动作。由于不同阶段的场景参数和负载条件不完整，本文将其作为功能进展记录，不将仿真中的障碍高度移植为实机指标。Fig.</w:t>
      </w:r>
      <w:r>
        <w:rPr>
          <w:sz w:val="20"/>
          <w:szCs w:val="20"/>
        </w:rPr>
        <w:t xml:space="preserve"> 9 </w:t>
      </w:r>
      <w:r>
        <w:rPr>
          <w:rFonts w:hint="eastAsia"/>
          <w:sz w:val="20"/>
          <w:szCs w:val="20"/>
        </w:rPr>
        <w:t>预留分别标注仿真与实机条件的连续画面。</w:t>
      </w:r>
    </w:p>
    <w:p w14:paraId="34B44258">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B10C1FB">
      <w:pPr>
        <w:pStyle w:val="18"/>
        <w:numPr>
          <w:ilvl w:val="0"/>
          <w:numId w:val="0"/>
        </w:numPr>
        <w:snapToGrid w:val="0"/>
      </w:pPr>
      <w:r>
        <w:rPr>
          <w:iCs/>
        </w:rPr>
        <w:t xml:space="preserve">Fig. 10. </w:t>
      </w:r>
      <w:r>
        <w:rPr>
          <w:rFonts w:hint="eastAsia"/>
          <w:iCs/>
        </w:rPr>
        <w:t>底盘越障与姿态调节的仿真、实机序列（留白，待补场景参数及连续画面）。</w:t>
      </w:r>
    </w:p>
    <w:p w14:paraId="0FDA2E8A">
      <w:pPr>
        <w:pStyle w:val="7"/>
        <w:numPr>
          <w:ilvl w:val="0"/>
          <w:numId w:val="0"/>
        </w:numPr>
        <w:snapToGrid w:val="0"/>
        <w:rPr>
          <w:sz w:val="20"/>
        </w:rPr>
      </w:pPr>
      <w:r>
        <w:rPr>
          <w:sz w:val="20"/>
          <w:szCs w:val="20"/>
        </w:rPr>
        <w:t xml:space="preserve">14 bit </w:t>
      </w:r>
      <w:r>
        <w:rPr>
          <w:rFonts w:hint="eastAsia"/>
          <w:sz w:val="20"/>
          <w:szCs w:val="20"/>
        </w:rPr>
        <w:t>编码器在整周编码假设下的角度量化间隔约为</w:t>
      </w:r>
      <w:r>
        <w:rPr>
          <w:sz w:val="20"/>
          <w:szCs w:val="20"/>
        </w:rPr>
        <w:t xml:space="preserve"> </w:t>
      </w:r>
      <m:oMath>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2</m:t>
            </m:r>
          </m:e>
          <m:sup>
            <m:r>
              <m:rPr/>
              <w:rPr>
                <w:rFonts w:ascii="Cambria Math" w:hAnsi="Cambria Math" w:eastAsia="Cambria Math" w:cs="Cambria Math"/>
                <w:sz w:val="20"/>
                <w:szCs w:val="20"/>
              </w:rPr>
              <m:t>14</m:t>
            </m:r>
          </m:sup>
        </m:s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3.83</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10</m:t>
            </m:r>
          </m:e>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sup>
        </m:sSup>
        <m:r>
          <m:rPr/>
          <w:rPr>
            <w:rFonts w:ascii="Cambria Math" w:hAnsi="Cambria Math" w:eastAsia="Cambria Math" w:cs="Cambria Math"/>
            <w:sz w:val="20"/>
            <w:szCs w:val="20"/>
          </w:rPr>
          <m:t> </m:t>
        </m:r>
        <m:r>
          <m:rPr>
            <m:sty m:val="p"/>
          </m:rPr>
          <w:rPr>
            <w:rFonts w:ascii="Cambria Math" w:hAnsi="Cambria Math" w:eastAsia="Cambria Math" w:cs="Cambria Math"/>
            <w:sz w:val="20"/>
            <w:szCs w:val="20"/>
          </w:rPr>
          <m:t>rad</m:t>
        </m:r>
      </m:oMath>
      <w:r>
        <w:rPr>
          <w:rFonts w:hint="eastAsia"/>
          <w:sz w:val="20"/>
          <w:szCs w:val="20"/>
        </w:rPr>
        <w:t>，即约</w:t>
      </w:r>
      <w:r>
        <w:rPr>
          <w:sz w:val="20"/>
          <w:szCs w:val="20"/>
        </w:rPr>
        <w:t xml:space="preserve"> </w:t>
      </w:r>
      <m:oMath>
        <m:sSup>
          <m:sSupPr/>
          <m:e>
            <m:r>
              <m:rPr/>
              <w:rPr>
                <w:rFonts w:ascii="Cambria Math" w:hAnsi="Cambria Math" w:eastAsia="Cambria Math" w:cs="Cambria Math"/>
                <w:sz w:val="20"/>
                <w:szCs w:val="20"/>
              </w:rPr>
              <m:t>0.022</m:t>
            </m:r>
          </m:e>
          <m:sup>
            <m:r>
              <m:rPr>
                <m:sty m:val="p"/>
              </m:rPr>
              <w:rPr>
                <w:rFonts w:ascii="Cambria Math" w:hAnsi="Cambria Math" w:eastAsia="Cambria Math" w:cs="Cambria Math"/>
                <w:sz w:val="20"/>
                <w:szCs w:val="20"/>
              </w:rPr>
              <m:t>∘</m:t>
            </m:r>
          </m:sup>
        </m:sSup>
      </m:oMath>
      <w:r>
        <w:rPr>
          <w:rFonts w:hint="eastAsia"/>
          <w:sz w:val="20"/>
          <w:szCs w:val="20"/>
        </w:rPr>
        <w:t>。这是理想输出量化间隔，不是编码器绝对精度，更不是主从末端精度。连杆尺寸误差、安装偏置、传动间隙、雅可比条件数和无线延迟共同影响实际结果。</w:t>
      </w:r>
    </w:p>
    <w:bookmarkEnd w:id="22"/>
    <w:p w14:paraId="19A4B578">
      <w:pPr>
        <w:pStyle w:val="3"/>
        <w:numPr>
          <w:ilvl w:val="1"/>
          <w:numId w:val="0"/>
        </w:numPr>
        <w:snapToGrid w:val="0"/>
      </w:pPr>
      <w:bookmarkStart w:id="23" w:name="d.-讨论discussion"/>
      <w:r>
        <w:t xml:space="preserve">D. </w:t>
      </w:r>
      <w:r>
        <w:rPr>
          <w:rFonts w:hint="eastAsia"/>
        </w:rPr>
        <w:t>讨论（Discussion）</w:t>
      </w:r>
    </w:p>
    <w:p w14:paraId="249065DF">
      <w:pPr>
        <w:pStyle w:val="7"/>
        <w:numPr>
          <w:ilvl w:val="0"/>
          <w:numId w:val="0"/>
        </w:numPr>
        <w:snapToGrid w:val="0"/>
        <w:rPr>
          <w:sz w:val="20"/>
        </w:rPr>
      </w:pPr>
      <w:r>
        <w:rPr>
          <w:rFonts w:hint="eastAsia"/>
          <w:sz w:val="20"/>
          <w:szCs w:val="20"/>
        </w:rPr>
        <w:t>结构层面，省去髋部滚转执行器并将腿部电机集中在髋部，有助于控制机构数量和运动部件惯量；麦克纳姆轮使平面侧移无需额外转向机构。但是，被动辊子的滚动阻力、接触面积和地面条件会影响通过性与效率，不能仅依据自由度减少推断整机节能。</w:t>
      </w:r>
    </w:p>
    <w:p w14:paraId="6675722A">
      <w:pPr>
        <w:pStyle w:val="7"/>
        <w:numPr>
          <w:ilvl w:val="0"/>
          <w:numId w:val="0"/>
        </w:numPr>
        <w:snapToGrid w:val="0"/>
        <w:rPr>
          <w:sz w:val="20"/>
        </w:rPr>
      </w:pPr>
      <w:r>
        <w:rPr>
          <w:rFonts w:hint="eastAsia"/>
          <w:sz w:val="20"/>
          <w:szCs w:val="20"/>
        </w:rPr>
        <w:t>控制层面，解析运动学和小规模力分配便于嵌入式实现，但报告没有给出单周期耗时和处理器占用率，故“低硬件依赖”目前主要体现为所用计算结构与部署方式。最小范数接触力未包含完整摩擦与执行器约束，且单刚体近似无法充分描述机械臂快速摆动、重载抓取和跳跃落地过程，需要通过约束分配、参数辨识和接触状态处理进一步完善。</w:t>
      </w:r>
    </w:p>
    <w:p w14:paraId="4B9DBE4C">
      <w:pPr>
        <w:pStyle w:val="7"/>
        <w:numPr>
          <w:ilvl w:val="0"/>
          <w:numId w:val="0"/>
        </w:numPr>
        <w:snapToGrid w:val="0"/>
        <w:rPr>
          <w:sz w:val="20"/>
        </w:rPr>
      </w:pPr>
      <w:r>
        <w:rPr>
          <w:rFonts w:hint="eastAsia"/>
          <w:sz w:val="20"/>
          <w:szCs w:val="20"/>
        </w:rPr>
        <w:t>遥操作层面，平移与姿态分离输入降低了操作手直接协调六个从端关节的负担。主端重力补偿及</w:t>
      </w:r>
      <w:r>
        <w:rPr>
          <w:sz w:val="20"/>
          <w:szCs w:val="20"/>
        </w:rPr>
        <w:t xml:space="preserve"> TD </w:t>
      </w:r>
      <w:r>
        <w:rPr>
          <w:rFonts w:hint="eastAsia"/>
          <w:sz w:val="20"/>
          <w:szCs w:val="20"/>
        </w:rPr>
        <w:t>平滑有助于改善操作过程，但“更直观”“更精细”仍需通过用户任务、位置误差及延迟测量评价。现有资料不支持与</w:t>
      </w:r>
      <w:r>
        <w:rPr>
          <w:sz w:val="20"/>
          <w:szCs w:val="20"/>
        </w:rPr>
        <w:t xml:space="preserve"> [1]–[3] </w:t>
      </w:r>
      <w:r>
        <w:rPr>
          <w:rFonts w:hint="eastAsia"/>
          <w:sz w:val="20"/>
          <w:szCs w:val="20"/>
        </w:rPr>
        <w:t>的跨平台性能排名，也不足以宣称已实现任意地形下的高精度、低能耗移动操作。</w:t>
      </w:r>
    </w:p>
    <w:bookmarkEnd w:id="19"/>
    <w:bookmarkEnd w:id="23"/>
    <w:p w14:paraId="3A278C2B">
      <w:pPr>
        <w:pStyle w:val="2"/>
        <w:numPr>
          <w:ilvl w:val="0"/>
          <w:numId w:val="0"/>
        </w:numPr>
        <w:snapToGrid w:val="0"/>
      </w:pPr>
      <w:bookmarkStart w:id="24" w:name="v.-结论conclusion"/>
      <w:r>
        <w:t xml:space="preserve">V. </w:t>
      </w:r>
      <w:r>
        <w:rPr>
          <w:rFonts w:hint="eastAsia"/>
        </w:rPr>
        <w:t>结论（Conclusion）</w:t>
      </w:r>
    </w:p>
    <w:p w14:paraId="651E6B08">
      <w:pPr>
        <w:pStyle w:val="7"/>
        <w:numPr>
          <w:ilvl w:val="0"/>
          <w:numId w:val="0"/>
        </w:numPr>
        <w:snapToGrid w:val="0"/>
        <w:rPr>
          <w:sz w:val="20"/>
        </w:rPr>
      </w:pPr>
      <w:r>
        <w:rPr>
          <w:rFonts w:hint="eastAsia"/>
          <w:sz w:val="20"/>
          <w:szCs w:val="20"/>
        </w:rPr>
        <w:t>本文围绕麦克纳姆轮四足底盘、六轴机械臂和</w:t>
      </w:r>
      <w:r>
        <w:rPr>
          <w:sz w:val="20"/>
          <w:szCs w:val="20"/>
        </w:rPr>
        <w:t xml:space="preserve"> Delta </w:t>
      </w:r>
      <w:r>
        <w:rPr>
          <w:rFonts w:hint="eastAsia"/>
          <w:sz w:val="20"/>
          <w:szCs w:val="20"/>
        </w:rPr>
        <w:t>异构遥操作控制器，整理并建立了结构设计、运动学映射与底盘模型前馈相结合的系统方案。底盘通过两关节轮腿和麦克纳姆轮实现支撑调节与平面移动，控制采用单腿虚功映射和整机单刚体分配；机械臂通过腕心定位与球腕定姿，将末端目标位姿转换为关节指令；主端通过</w:t>
      </w:r>
      <w:r>
        <w:rPr>
          <w:sz w:val="20"/>
          <w:szCs w:val="20"/>
        </w:rPr>
        <w:t xml:space="preserve"> Delta </w:t>
      </w:r>
      <w:r>
        <w:rPr>
          <w:rFonts w:hint="eastAsia"/>
          <w:sz w:val="20"/>
          <w:szCs w:val="20"/>
        </w:rPr>
        <w:t>平移、三编码器姿态输入与坐标缩放连接操作者和机器人。</w:t>
      </w:r>
    </w:p>
    <w:p w14:paraId="44400D9C">
      <w:pPr>
        <w:pStyle w:val="7"/>
        <w:numPr>
          <w:ilvl w:val="0"/>
          <w:numId w:val="0"/>
        </w:numPr>
        <w:snapToGrid w:val="0"/>
        <w:rPr>
          <w:sz w:val="20"/>
        </w:rPr>
      </w:pPr>
      <w:r>
        <w:rPr>
          <w:rFonts w:hint="eastAsia"/>
          <w:sz w:val="20"/>
          <w:szCs w:val="20"/>
        </w:rPr>
        <w:t>已有报告支持模块级功能实现，并记录了关节阶跃响应改善及底盘越障、姿态调节的阶段性成果。当前主要限制是缺少统一的原始实验日志、完整标定参数以及整机能耗和末端精度测量。后续将完善带物理约束的接触力分配与主从标定，统一仿真和实机测试条件，并通过重复任务试验评价该方案的效率、精度和适用范围。</w:t>
      </w:r>
    </w:p>
    <w:bookmarkEnd w:id="24"/>
    <w:p w14:paraId="7FEF48C1">
      <w:pPr>
        <w:pStyle w:val="6"/>
        <w:keepNext/>
        <w:numPr>
          <w:ilvl w:val="0"/>
          <w:numId w:val="0"/>
        </w:numPr>
        <w:snapToGrid w:val="0"/>
      </w:pPr>
      <w:bookmarkStart w:id="25" w:name="致谢acknowledgment"/>
      <w:r>
        <w:rPr>
          <w:rFonts w:hint="eastAsia"/>
        </w:rPr>
        <w:t>致谢（Acknowledgment）</w:t>
      </w:r>
    </w:p>
    <w:p w14:paraId="415C08CB">
      <w:pPr>
        <w:pStyle w:val="7"/>
        <w:numPr>
          <w:ilvl w:val="0"/>
          <w:numId w:val="0"/>
        </w:numPr>
        <w:snapToGrid w:val="0"/>
        <w:rPr>
          <w:sz w:val="20"/>
        </w:rPr>
      </w:pPr>
      <w:r>
        <w:rPr>
          <w:rFonts w:hint="eastAsia"/>
          <w:sz w:val="20"/>
          <w:szCs w:val="20"/>
        </w:rPr>
        <w:t>资助项目、合作单位及需致谢人员待作者确认。</w:t>
      </w:r>
    </w:p>
    <w:bookmarkEnd w:id="25"/>
    <w:p w14:paraId="07FDE488">
      <w:pPr>
        <w:pStyle w:val="6"/>
        <w:keepNext/>
        <w:numPr>
          <w:ilvl w:val="0"/>
          <w:numId w:val="0"/>
        </w:numPr>
        <w:snapToGrid w:val="0"/>
      </w:pPr>
      <w:bookmarkStart w:id="26" w:name="参考文献references"/>
      <w:r>
        <w:rPr>
          <w:rFonts w:hint="eastAsia"/>
        </w:rPr>
        <w:t>参考文献（References）</w:t>
      </w:r>
    </w:p>
    <w:p w14:paraId="70E0EE5E">
      <w:pPr>
        <w:pStyle w:val="22"/>
        <w:numPr>
          <w:ilvl w:val="0"/>
          <w:numId w:val="0"/>
        </w:numPr>
        <w:snapToGrid w:val="0"/>
      </w:pPr>
      <w:r>
        <w:t>[1] Z. Wang et al., “Arm-constrained curriculum learning for loco-manipulation of the wheel-legged robot,” arXiv:2403.16535v2, 2024. [Online]. Available: https://arxiv.org/abs/2403.16535v2</w:t>
      </w:r>
    </w:p>
    <w:p w14:paraId="55A4F64A">
      <w:pPr>
        <w:pStyle w:val="22"/>
        <w:numPr>
          <w:ilvl w:val="0"/>
          <w:numId w:val="0"/>
        </w:numPr>
        <w:snapToGrid w:val="0"/>
      </w:pPr>
      <w:r>
        <w:t xml:space="preserve">[2] R. Zhang, H. Du, P. Qiu, Y. Yang, and W. Song, “Motion control of a hybrid self-reconfigurable wheel-legged dual-arm robot,” in </w:t>
      </w:r>
      <w:r>
        <w:rPr>
          <w:i/>
          <w:iCs/>
        </w:rPr>
        <w:t>Proc. IEEE/RSJ Int. Conf. Intell. Robots Syst. (IROS)</w:t>
      </w:r>
      <w:r>
        <w:t>, 2025, pp. 16483–16488, doi: 10.1109/IROS60139.2025.11246212.</w:t>
      </w:r>
    </w:p>
    <w:p w14:paraId="62006706">
      <w:pPr>
        <w:pStyle w:val="22"/>
        <w:numPr>
          <w:ilvl w:val="0"/>
          <w:numId w:val="0"/>
        </w:numPr>
        <w:snapToGrid w:val="0"/>
      </w:pPr>
      <w:r>
        <w:t xml:space="preserve">[3] C. Cruz Ulloa, D. Domínguez, A. Barrientos, and J. del Cerro, “Design and mixed-reality teleoperation of a quadruped-manipulator robot for SAR tasks,” in </w:t>
      </w:r>
      <w:r>
        <w:rPr>
          <w:i/>
          <w:iCs/>
        </w:rPr>
        <w:t>Robotics in Natural Settings</w:t>
      </w:r>
      <w:r>
        <w:t>, Lecture Notes in Networks and Systems, vol. 530. Springer, 2023, pp. 181–194, doi: 10.1007/978-3-031-15226-9_19.</w:t>
      </w:r>
    </w:p>
    <w:p w14:paraId="5EEC4E2D">
      <w:pPr>
        <w:pStyle w:val="22"/>
        <w:numPr>
          <w:ilvl w:val="0"/>
          <w:numId w:val="0"/>
        </w:numPr>
        <w:snapToGrid w:val="0"/>
      </w:pPr>
      <w:r>
        <w:t xml:space="preserve">[4] </w:t>
      </w:r>
      <w:r>
        <w:rPr>
          <w:rFonts w:hint="eastAsia"/>
        </w:rPr>
        <w:t>赵苏亚，“机器人、遥操作控制器开源技术报告，”技术报告，2026，未正式出版，仓库文件：2024311101-赵苏亚-机器人、遥操作控制器开源技术报告.pdf。</w:t>
      </w:r>
    </w:p>
    <w:p w14:paraId="4260D61B">
      <w:pPr>
        <w:pStyle w:val="22"/>
        <w:numPr>
          <w:ilvl w:val="0"/>
          <w:numId w:val="0"/>
        </w:numPr>
        <w:snapToGrid w:val="0"/>
      </w:pPr>
      <w:r>
        <w:t xml:space="preserve">[5] </w:t>
      </w:r>
      <w:r>
        <w:rPr>
          <w:rFonts w:hint="eastAsia"/>
        </w:rPr>
        <w:t>“机械部分，”项目机械设计资料，未正式出版，作者与成稿日期待确认，仓库文件：机械部分.docx。</w:t>
      </w:r>
    </w:p>
    <w:bookmarkEnd w:id="0"/>
    <w:bookmarkEnd w:id="26"/>
    <w:p w14:paraId="0ABBFEB5">
      <w:pPr>
        <w:numPr>
          <w:ilvl w:val="0"/>
          <w:numId w:val="0"/>
        </w:numPr>
        <w:snapToGrid w:val="0"/>
        <w:spacing w:before="0" w:after="0" w:line="1" w:lineRule="exact"/>
        <w:sectPr>
          <w:type w:val="continuous"/>
          <w:pgSz w:w="11906" w:h="16838"/>
          <w:pgMar w:top="1080" w:right="907" w:bottom="1440" w:left="907" w:header="720" w:footer="720" w:gutter="0"/>
          <w:cols w:space="360" w:num="2"/>
          <w:docGrid w:linePitch="360" w:charSpace="0"/>
        </w:sectPr>
      </w:pPr>
    </w:p>
    <w:p w14:paraId="3394C80F"/>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mSun">
    <w:panose1 w:val="02010600030101010101"/>
    <w:charset w:val="86"/>
    <w:family w:val="auto"/>
    <w:pitch w:val="default"/>
    <w:sig w:usb0="00000203" w:usb1="288F0000" w:usb2="00000006" w:usb3="00000000" w:csb0="00040001" w:csb1="00000000"/>
  </w:font>
  <w:font w:name="MS Mincho">
    <w:altName w:val="MS Gothic"/>
    <w:panose1 w:val="02020609040205080304"/>
    <w:charset w:val="0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朱雀仿宋（预览测试版）">
    <w:panose1 w:val="02000502050000000000"/>
    <w:charset w:val="86"/>
    <w:family w:val="auto"/>
    <w:pitch w:val="default"/>
    <w:sig w:usb0="E00002FF" w:usb1="4A07607B" w:usb2="00000010" w:usb3="00000000" w:csb0="0004019F" w:csb1="00000000"/>
  </w:font>
  <w:font w:name="华文中宋">
    <w:panose1 w:val="02010600040101010101"/>
    <w:charset w:val="86"/>
    <w:family w:val="auto"/>
    <w:pitch w:val="default"/>
    <w:sig w:usb0="00000287" w:usb1="080F0000" w:usb2="00000000" w:usb3="00000000" w:csb0="0004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19"/>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6"/>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7"/>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2"/>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18"/>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28"/>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NotTrackMoves/>
  <w:documentProtection w:enforcement="0"/>
  <w:defaultTabStop w:val="720"/>
  <w:doNotHyphenateCaps/>
  <w:drawingGridHorizontalSpacing w:val="360"/>
  <w:drawingGridVerticalSpacing w:val="360"/>
  <w:displayHorizontalDrawingGridEvery w:val="0"/>
  <w:displayVerticalDrawingGridEvery w:val="0"/>
  <w:characterSpacingControl w:val="doNotCompress"/>
  <w:doNotValidateAgainstSchema/>
  <w:doNotDemarcateInvalidXml/>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677EF307"/>
    <w:rsid w:val="6EFF9550"/>
    <w:rsid w:val="7D7BC468"/>
    <w:rsid w:val="7F7C0272"/>
    <w:rsid w:val="7FFB82DC"/>
    <w:rsid w:val="7FFD2014"/>
    <w:rsid w:val="C7EFD91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5"/>
    <w:qFormat/>
    <w:uiPriority w:val="0"/>
    <w:pPr>
      <w:tabs>
        <w:tab w:val="left" w:pos="288"/>
      </w:tabs>
      <w:spacing w:after="120" w:line="228" w:lineRule="auto"/>
      <w:ind w:firstLine="288"/>
      <w:jc w:val="both"/>
    </w:pPr>
    <w:rPr>
      <w:spacing w:val="-1"/>
      <w:lang w:val="zh-CN" w:eastAsia="zh-CN"/>
    </w:rPr>
  </w:style>
  <w:style w:type="paragraph" w:styleId="8">
    <w:name w:val="footer"/>
    <w:basedOn w:val="1"/>
    <w:link w:val="31"/>
    <w:qFormat/>
    <w:uiPriority w:val="0"/>
    <w:pPr>
      <w:tabs>
        <w:tab w:val="center" w:pos="4680"/>
        <w:tab w:val="right" w:pos="9360"/>
      </w:tabs>
    </w:pPr>
  </w:style>
  <w:style w:type="paragraph" w:styleId="9">
    <w:name w:val="header"/>
    <w:basedOn w:val="1"/>
    <w:link w:val="30"/>
    <w:qFormat/>
    <w:uiPriority w:val="0"/>
    <w:pPr>
      <w:tabs>
        <w:tab w:val="center" w:pos="4680"/>
        <w:tab w:val="right" w:pos="9360"/>
      </w:tabs>
    </w:pPr>
  </w:style>
  <w:style w:type="paragraph" w:customStyle="1" w:styleId="12">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3">
    <w:name w:val="Affiliation"/>
    <w:qFormat/>
    <w:uiPriority w:val="0"/>
    <w:pPr>
      <w:jc w:val="center"/>
    </w:pPr>
    <w:rPr>
      <w:rFonts w:ascii="Times New Roman" w:hAnsi="Times New Roman" w:eastAsia="SimSun" w:cs="Times New Roman"/>
      <w:lang w:val="en-US" w:eastAsia="en-US" w:bidi="ar-SA"/>
    </w:rPr>
  </w:style>
  <w:style w:type="paragraph" w:customStyle="1" w:styleId="14">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5">
    <w:name w:val="Body Text Char"/>
    <w:link w:val="7"/>
    <w:qFormat/>
    <w:uiPriority w:val="0"/>
    <w:rPr>
      <w:spacing w:val="-1"/>
      <w:lang w:val="zh-CN" w:eastAsia="zh-CN"/>
    </w:rPr>
  </w:style>
  <w:style w:type="paragraph" w:customStyle="1" w:styleId="16">
    <w:name w:val="bullet list"/>
    <w:basedOn w:val="7"/>
    <w:qFormat/>
    <w:uiPriority w:val="0"/>
    <w:pPr>
      <w:numPr>
        <w:ilvl w:val="0"/>
        <w:numId w:val="2"/>
      </w:numPr>
      <w:tabs>
        <w:tab w:val="clear" w:pos="648"/>
      </w:tabs>
      <w:ind w:left="576" w:hanging="288"/>
    </w:pPr>
  </w:style>
  <w:style w:type="paragraph" w:customStyle="1" w:styleId="17">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18">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19">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0">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1">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2">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3">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4">
    <w:name w:val="table col head"/>
    <w:basedOn w:val="1"/>
    <w:qFormat/>
    <w:uiPriority w:val="0"/>
    <w:rPr>
      <w:b/>
      <w:bCs/>
      <w:sz w:val="16"/>
      <w:szCs w:val="16"/>
    </w:rPr>
  </w:style>
  <w:style w:type="paragraph" w:customStyle="1" w:styleId="25">
    <w:name w:val="table col subhead"/>
    <w:basedOn w:val="24"/>
    <w:qFormat/>
    <w:uiPriority w:val="0"/>
    <w:rPr>
      <w:i/>
      <w:iCs/>
      <w:sz w:val="15"/>
      <w:szCs w:val="15"/>
    </w:rPr>
  </w:style>
  <w:style w:type="paragraph" w:customStyle="1" w:styleId="26">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27">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28">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29">
    <w:name w:val="Keywords"/>
    <w:basedOn w:val="12"/>
    <w:qFormat/>
    <w:uiPriority w:val="0"/>
    <w:pPr>
      <w:spacing w:after="120"/>
      <w:ind w:firstLine="274"/>
    </w:pPr>
    <w:rPr>
      <w:i/>
    </w:rPr>
  </w:style>
  <w:style w:type="character" w:customStyle="1" w:styleId="30">
    <w:name w:val="Header Char"/>
    <w:basedOn w:val="11"/>
    <w:link w:val="9"/>
    <w:qFormat/>
    <w:uiPriority w:val="0"/>
  </w:style>
  <w:style w:type="character" w:customStyle="1" w:styleId="31">
    <w:name w:val="Footer Char"/>
    <w:basedOn w:val="11"/>
    <w:link w:val="8"/>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7.png"/><Relationship Id="rId1" Type="http://schemas.openxmlformats.org/officeDocument/2006/relationships/styles" Target="styles.xml"/><Relationship Id="rId13" Type="http://schemas.openxmlformats.org/officeDocument/2006/relationships/image" Target="media/teleoperation_master_annotate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8</Pages>
  <Words>2151</Words>
  <Characters>12267</Characters>
  <Lines>102</Lines>
  <Paragraphs>28</Paragraphs>
  <TotalTime>2</TotalTime>
  <ScaleCrop>false</ScaleCrop>
  <LinksUpToDate>false</LinksUpToDate>
  <CharactersWithSpaces>14390</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2026-10-07T10:20:00Z</dcterms:created>
  <dc:creator>赵苏亚</dc:creator>
  <cp:lastModifiedBy>赵苏亚</cp:lastModifiedBy>
  <dcterms:modified xsi:type="dcterms:W3CDTF">2026-10-06T21:28:18Z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06269A97AD3E24A687D4C46A4532AFD6_42</vt:lpwstr>
  </property>
</Properties>
</file>