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e>
            <m:r>
              <m:rPr>
                <m:sty m:val="i"/>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 xml:space="preserve">；</w:t>
      </w:r>
      <m:oMath>
        <m:sSub>
          <m:e>
            <m:r>
              <m:rPr>
                <m:sty m:val="i"/>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e>
            <m:r>
              <m:rPr>
                <m:sty m:val="i"/>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e>
            <m:r>
              <m:rPr>
                <m:sty m:val="bi"/>
              </m:rPr>
              <w:rPr>
                <w:rFonts w:ascii="Cambria Math" w:hAnsi="Cambria Math" w:eastAsia="Cambria Math" w:cs="Cambria Math"/>
                <w:sz w:val="20"/>
                <w:szCs w:val="20"/>
              </w:rPr>
              <m:t>e</m:t>
            </m:r>
          </m:e>
          <m:sub>
            <m:r>
              <m:rPr>
                <m:sty m:val="i"/>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e>
            <m:r>
              <m:rPr>
                <m:sty m:val="i"/>
              </m:rPr>
              <w:rPr>
                <w:rFonts w:ascii="Cambria Math" w:hAnsi="Cambria Math" w:eastAsia="Cambria Math" w:cs="Cambria Math"/>
                <w:sz w:val="20"/>
                <w:szCs w:val="20"/>
              </w:rPr>
              <m:t>ψ</m:t>
            </m:r>
          </m:e>
          <m:sub>
            <m:r>
              <m:rPr>
                <m:sty m:val="i"/>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e>
            <m:r>
              <m:rPr>
                <m:sty m:val="i"/>
              </m:rPr>
              <w:rPr>
                <w:rFonts w:ascii="Cambria Math" w:hAnsi="Cambria Math" w:eastAsia="Cambria Math" w:cs="Cambria Math"/>
                <w:sz w:val="20"/>
                <w:szCs w:val="20"/>
              </w:rPr>
              <m:t>ψ</m:t>
            </m:r>
          </m:e>
          <m:sub>
            <m:r>
              <m:rPr>
                <m:sty m:val="i"/>
              </m:rPr>
              <w:rPr>
                <w:rFonts w:ascii="Cambria Math" w:hAnsi="Cambria Math" w:eastAsia="Cambria Math" w:cs="Cambria Math"/>
                <w:sz w:val="20"/>
                <w:szCs w:val="20"/>
              </w:rPr>
              <m:t>i</m:t>
            </m:r>
          </m:sub>
        </m:sSub>
        <m:sSup>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80000" cy="7405714"/>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4"/>
                    <a:stretch>
                      <a:fillRect/>
                    </a:stretch>
                  </pic:blipFill>
                  <pic:spPr>
                    <a:xfrm>
                      <a:off x="0" y="0"/>
                      <a:ext cx="2880000" cy="7405714"/>
                    </a:xfrm>
                    <a:prstGeom prst="rect">
                      <a:avLst/>
                    </a:prstGeom>
                  </pic:spPr>
                </pic:pic>
              </a:graphicData>
            </a:graphic>
          </wp:inline>
        </w:drawing>
      </w:r>
    </w:p>
    <w:p w14:paraId="6F109002">
      <w:pPr>
        <w:pStyle w:val="18"/>
        <w:numPr>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bookmarkStart w:id="27" w:name="_GoBack"/>
      <w:bookmarkEnd w:id="27"/>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 xml:space="preserve">。在非奇异工作区域，动平台位置对关节角的雅可比矩阵及速度关系为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num>
                    <m:r>
                      <m:rPr>
                        <m:sty m:val="p"/>
                      </m:rPr>
                      <w:rPr>
                        <w:rFonts w:ascii="Cambria Math" w:hAnsi="Cambria Math" w:eastAsia="Cambria Math" w:cs="Cambria Math"/>
                        <w:sz w:val="18"/>
                        <w:szCs w:val="18"/>
                      </w:rPr>
                      <m:t>∂</m:t>
                    </m:r>
                    <m:sSub>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e>
            <m:r>
              <m:rPr>
                <m:sty m:val="i"/>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下的重力加速度向量；必要时另加支链重力项，以降低手持静态负担。近奇异区域应限制力矩和操作范围。</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4" Type="http://schemas.openxmlformats.org/officeDocument/2006/relationships/image" Target="media/delta_geometr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20</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2026-10-07T18:20:00Z</dcterms:created>
  <dc:creator>赵苏亚</dc:creator>
  <cp:lastModifiedBy>赵苏亚</cp:lastModifiedBy>
  <dcterms:modified xsi:type="dcterms:W3CDTF">2026-10-06T22:15:18Z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