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bookmarkStart w:id="27" w:name="_GoBack"/>
      <w:bookmarkEnd w:id="27"/>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numId w:val="0"/>
        </w:numPr>
        <w:snapToGrid w:val="0"/>
        <w:spacing w:before="60" w:after="60" w:line="240" w:lineRule="auto"/>
        <w:ind w:left="0" w:right="0" w:firstLine="0"/>
        <w:jc w:val="center"/>
      </w:pPr>
      <w:r>
        <w:drawing>
          <wp:inline distT="0" distB="0" distL="0" distR="0">
            <wp:extent cx="3060000" cy="2295000"/>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hole_robot_contact_forces.png"/>
                    <pic:cNvPicPr>
                      <a:picLocks noChangeAspect="1"/>
                    </pic:cNvPicPr>
                  </pic:nvPicPr>
                  <pic:blipFill>
                    <a:blip r:embed="rId10"/>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满行秩时成立。该解最小化接触力的欧氏范数，并不直接最小化电池能耗，也不自动满足法向力非负、摩擦上限以及辊子方向约束。</w:t>
      </w:r>
    </w:p>
    <w:p w14:paraId="259F0A80">
      <w:pPr>
        <w:pStyle w:val="7"/>
        <w:numPr>
          <w:ilvl w:val="0"/>
          <w:numId w:val="0"/>
        </w:numPr>
        <w:snapToGrid w:val="0"/>
        <w:rPr>
          <w:sz w:val="20"/>
        </w:rPr>
      </w:pPr>
      <w:r>
        <w:rPr>
          <w:rFonts w:hint="eastAsia"/>
          <w:sz w:val="20"/>
          <w:szCs w:val="20"/>
        </w:rPr>
        <w:t>对于水平接触，理想模型还要求</w:t>
      </w:r>
      <w:r>
        <w:rPr>
          <w:sz w:val="20"/>
          <w:szCs w:val="20"/>
        </w:rPr>
        <w:t xml:space="preserve"> </w:t>
      </w:r>
      <m:oMath>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w:t>
      </w:r>
      <m:oMath>
        <m:sSubSup>
          <m:sSubSupPr/>
          <m:e>
            <m:r>
              <m:rPr>
                <m:sty m:val="bi"/>
              </m:rPr>
              <w:rPr>
                <w:rFonts w:ascii="Cambria Math" w:hAnsi="Cambria Math" w:eastAsia="Cambria Math" w:cs="Cambria Math"/>
                <w:sz w:val="20"/>
                <w:szCs w:val="20"/>
              </w:rPr>
              <m:t>t</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及</w:t>
      </w:r>
      <w:r>
        <w:rPr>
          <w:sz w:val="20"/>
          <w:szCs w:val="20"/>
        </w:rPr>
        <w:t xml:space="preserve"> </w:t>
      </w:r>
      <m:oMath>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n</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为有效摩擦系数，方向矢量需转换至惯性系。基线分配不满足这些条件时，不能视为可直接执行的地面力。报告提出的二次规划可加入这些限制，但不属于本文已有实验的实现结果。</w:t>
      </w:r>
    </w:p>
    <w:bookmarkEnd w:id="12"/>
    <w:p w14:paraId="1F9BE2B0">
      <w:pPr>
        <w:pStyle w:val="4"/>
        <w:numPr>
          <w:ilvl w:val="2"/>
          <w:numId w:val="0"/>
        </w:numPr>
        <w:snapToGrid w:val="0"/>
      </w:pPr>
      <w:bookmarkStart w:id="13" w:name="姿态控制器与离地检测"/>
      <w:r>
        <w:t xml:space="preserve">5) </w:t>
      </w:r>
      <w:r>
        <w:rPr>
          <w:rFonts w:hint="eastAsia"/>
        </w:rPr>
        <w:t>姿态控制器与离地检测</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oMath>
      <w:r>
        <w:rPr>
          <w:sz w:val="20"/>
          <w:szCs w:val="20"/>
        </w:rPr>
        <w:t xml:space="preserve"> </w:t>
      </w:r>
      <w:r>
        <w:rPr>
          <w:rFonts w:hint="eastAsia"/>
          <w:sz w:val="20"/>
          <w:szCs w:val="20"/>
        </w:rPr>
        <w:t>是具有长度单位的支撑高度修正量，离散增益</w:t>
      </w:r>
      <w:r>
        <w:rPr>
          <w:sz w:val="20"/>
          <w:szCs w:val="20"/>
        </w:rPr>
        <w:t xml:space="preserve"> </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sz w:val="20"/>
          <w:szCs w:val="20"/>
        </w:rPr>
        <w:t xml:space="preserve"> </w:t>
      </w:r>
      <w:r>
        <w:rPr>
          <w:rFonts w:hint="eastAsia"/>
          <w:sz w:val="20"/>
          <w:szCs w:val="20"/>
        </w:rPr>
        <w:t>包含采样周期的影响。原稿预留的增量式</w:t>
      </w:r>
      <w:r>
        <w:rPr>
          <w:sz w:val="20"/>
          <w:szCs w:val="20"/>
        </w:rPr>
        <w:t xml:space="preserve"> PID </w:t>
      </w:r>
      <w:r>
        <w:rPr>
          <w:rFonts w:hint="eastAsia"/>
          <w:sz w:val="20"/>
          <w:szCs w:val="20"/>
        </w:rPr>
        <w:t>可作为这一增量调节接口的通用扩展；若采用离散</w:t>
      </w:r>
      <w:r>
        <w:rPr>
          <w:sz w:val="20"/>
          <w:szCs w:val="20"/>
        </w:rPr>
        <w:t xml:space="preserve"> </w:t>
      </w:r>
      <w:r>
        <w:rPr>
          <w:rFonts w:hint="eastAsia"/>
          <w:sz w:val="20"/>
          <w:szCs w:val="20"/>
        </w:rPr>
        <w:t>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这里</w:t>
      </w:r>
      <w:r>
        <w:rPr>
          <w:sz w:val="20"/>
          <w:szCs w:val="20"/>
        </w:rPr>
        <w:t xml:space="preserve"> </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sz w:val="20"/>
          <w:szCs w:val="20"/>
        </w:rPr>
        <w:t xml:space="preserve"> </w:t>
      </w:r>
      <w:r>
        <w:rPr>
          <w:rFonts w:hint="eastAsia"/>
          <w:sz w:val="20"/>
          <w:szCs w:val="20"/>
        </w:rPr>
        <w:t>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实现。</w:t>
      </w:r>
    </w:p>
    <w:p w14:paraId="194B4AE2">
      <w:pPr>
        <w:pStyle w:val="7"/>
        <w:numPr>
          <w:ilvl w:val="0"/>
          <w:numId w:val="0"/>
        </w:numPr>
        <w:snapToGrid w:val="0"/>
        <w:rPr>
          <w:sz w:val="20"/>
        </w:rPr>
      </w:pPr>
      <w:r>
        <w:rPr>
          <w:rFonts w:hint="eastAsia"/>
          <w:sz w:val="20"/>
          <w:szCs w:val="20"/>
        </w:rPr>
        <w:t>设名义轮心平面坐标为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rFonts w:hint="eastAsia"/>
          <w:sz w:val="20"/>
          <w:szCs w:val="20"/>
        </w:rPr>
        <w:t>，取四腿近似对称分布，前后、左右半间距分别为</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此处</w:t>
      </w:r>
      <w:r>
        <w:rPr>
          <w:sz w:val="20"/>
          <w:szCs w:val="20"/>
        </w:rPr>
        <w:t xml:space="preserve"> </w:t>
      </w:r>
      <m:oMath>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sz w:val="20"/>
          <w:szCs w:val="20"/>
        </w:rPr>
        <w:t xml:space="preserve"> </w:t>
      </w:r>
      <w:r>
        <w:rPr>
          <w:rFonts w:hint="eastAsia"/>
          <w:sz w:val="20"/>
          <w:szCs w:val="20"/>
        </w:rPr>
        <w:t>为向下的支撑高度，腿基系相应目标为</w:t>
      </w:r>
      <w:r>
        <w:rPr>
          <w:sz w:val="20"/>
          <w:szCs w:val="20"/>
        </w:rPr>
        <w:t xml:space="preserve"> </w:t>
      </w:r>
      <m:oMath>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rFonts w:hint="eastAsia"/>
          <w:sz w:val="20"/>
          <w:szCs w:val="20"/>
        </w:rPr>
        <w:t>。符号关系来自机身滚转与俯仰引起的髋部高度变化；实际坐标安装方向应据此标定。逆运动学随后将轮心目标转换为关节目标。高度、关节角及输出增量均需限幅，饱和时停止向不可达方向累加。</w:t>
      </w:r>
    </w:p>
    <w:p w14:paraId="5C694F70">
      <w:pPr>
        <w:pStyle w:val="7"/>
        <w:numPr>
          <w:ilvl w:val="0"/>
          <w:numId w:val="0"/>
        </w:numPr>
        <w:snapToGrid w:val="0"/>
        <w:rPr>
          <w:sz w:val="20"/>
        </w:rPr>
      </w:pPr>
      <w:r>
        <w:rPr>
          <w:rFonts w:hint="eastAsia"/>
          <w:sz w:val="20"/>
          <w:szCs w:val="20"/>
        </w:rPr>
        <w:t>离地检测使用电机反馈力矩估算腿平面内的轮端载荷。令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q,fb</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tr</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r>
              <m:rPr>
                <m:sty m:val="p"/>
              </m:rPr>
              <w:rPr>
                <w:rFonts w:ascii="Cambria Math" w:hAnsi="Cambria Math" w:eastAsia="Cambria Math" w:cs="Cambria Math"/>
                <w:sz w:val="20"/>
                <w:szCs w:val="20"/>
              </w:rPr>
              <m:t>,fb</m:t>
            </m:r>
          </m:sub>
        </m:sSub>
      </m:oMath>
      <w:r>
        <w:rPr>
          <w:rFonts w:hint="eastAsia"/>
          <w:sz w:val="20"/>
          <w:szCs w:val="20"/>
        </w:rPr>
        <w:t>，由虚功关系可得</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AF1A4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BDE801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acc>
                      <m:accPr/>
                      <m:e>
                        <m:r>
                          <m:rPr>
                            <m:sty m:val="bi"/>
                          </m:rPr>
                          <w:rPr>
                            <w:rFonts w:ascii="Cambria Math" w:hAnsi="Cambria Math" w:eastAsia="Cambria Math" w:cs="Cambria Math"/>
                            <w:sz w:val="18"/>
                            <w:szCs w:val="18"/>
                          </w:rPr>
                          <m:t>f</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sup>
                </m:sSup>
                <m:d>
                  <m:dPr>
                    <m:sepChr m:val=""/>
                  </m:d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q,fb</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e>
                </m:d>
                <m:r>
                  <m:rPr>
                    <m:sty m:val="p"/>
                  </m:rPr>
                  <w:rPr>
                    <w:rFonts w:ascii="Cambria Math" w:hAnsi="Cambria Math" w:eastAsia="Cambria Math" w:cs="Cambria Math"/>
                    <w:sz w:val="18"/>
                    <w:szCs w:val="18"/>
                  </w:rPr>
                  <m:t>.</m:t>
                </m:r>
              </m:oMath>
            </m:oMathPara>
          </w:p>
        </w:tc>
        <w:tc>
          <w:tcPr>
            <w:tcW w:w="390" w:type="dxa"/>
            <w:vAlign w:val="center"/>
          </w:tcPr>
          <w:p w14:paraId="1DDE80E5">
            <w:pPr>
              <w:numPr>
                <w:ilvl w:val="0"/>
                <w:numId w:val="0"/>
              </w:numPr>
              <w:snapToGrid w:val="0"/>
              <w:jc w:val="right"/>
              <w:rPr>
                <w:sz w:val="16"/>
              </w:rPr>
            </w:pPr>
            <w:r>
              <w:rPr>
                <w:sz w:val="16"/>
                <w:szCs w:val="16"/>
              </w:rPr>
              <w:t>(21)</w:t>
            </w:r>
          </w:p>
        </w:tc>
      </w:tr>
    </w:tbl>
    <w:p w14:paraId="18A9DEFB">
      <w:pPr>
        <w:pStyle w:val="7"/>
        <w:numPr>
          <w:ilvl w:val="0"/>
          <w:numId w:val="0"/>
        </w:numPr>
        <w:snapToGrid w:val="0"/>
        <w:rPr>
          <w:sz w:val="20"/>
        </w:rPr>
      </w:pPr>
      <w:r>
        <w:rPr>
          <w:rFonts w:hint="eastAsia"/>
          <w:sz w:val="20"/>
          <w:szCs w:val="20"/>
        </w:rPr>
        <w:t>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(22)</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6.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(23)</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(24)</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(25)</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7.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(26)</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(27)</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(28)</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(29)</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(30)</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(31)</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(32)</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(33)</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(34)</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(35)</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(36)</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(37)</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(38)</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blPrEx>
          <w:tblCellMar>
            <w:top w:w="0" w:type="dxa"/>
            <w:left w:w="108" w:type="dxa"/>
            <w:bottom w:w="0" w:type="dxa"/>
            <w:right w:w="108" w:type="dxa"/>
          </w:tblCellMar>
        </w:tblPrEx>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blPrEx>
          <w:tblCellMar>
            <w:top w:w="0" w:type="dxa"/>
            <w:left w:w="108" w:type="dxa"/>
            <w:bottom w:w="0" w:type="dxa"/>
            <w:right w:w="108" w:type="dxa"/>
          </w:tblCellMar>
        </w:tblPrEx>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(39)</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8.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9.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 w:val="7FFB82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whole_robot_contact_force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2026-10-06T10:20:00Z</dcterms:created>
  <dc:creator>赵苏亚</dc:creator>
  <cp:lastModifiedBy>赵苏亚</cp:lastModifiedBy>
  <dcterms:modified xsi:type="dcterms:W3CDTF">2026-10-06T19:30:58Z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