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Denavit–Hartenberg（DH）法定义关节坐标系；前三个关节主要确定腕心位置，后三个关节确定末端姿态；夹爪的开合自由度用于抓取。机械臂连杆采用碳纤维板与铝制加工件，夹爪采用连杆与滑轨机构。</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依次对应动轴滚转（roll）、俯仰（pitch）和偏航（yaw），简称 RPY。主手通过正运动学获得位置和姿态，并经无线链路向作为从手的机械臂发送位姿指令；主手的力矩前馈用于补偿自身重力，减轻静态持握负担。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yellow"/>
        </w:rPr>
        <w:t>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w:t>
      </w:r>
      <w:r>
        <w:rPr>
          <w:rFonts w:hint="eastAsia"/>
          <w:sz w:val="20"/>
          <w:szCs w:val="20"/>
          <w:highlight w:val="yellow"/>
        </w:rPr>
        <w:t>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ascii="Times New Roman" w:hAnsi="Times New Roman" w:eastAsia="宋体"/>
          <w:sz w:val="20"/>
          <w:szCs w:val="20"/>
        </w:rPr>
        <w:t>两路腿部驱动同轴集中布置于髋部，其中一路直接驱动大腿，另一路通过平行四边形连杆向小腿传递运动与力矩。该布置使膝部无需安装随腿摆动的驱动电机，并使轮心定位可采用等效二转动关节模型描述。杆件上的局部镂空与走线槽分别服务于减重和线束布置，便于结构与电气系统集成。</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控制采用“单腿建模—整机合力分配—关节执行”的分层结构。腿部关节调整支撑高度与前后轮心位置，车轮负责平面滚动。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ascii="Times New Roman" w:hAnsi="Times New Roman" w:eastAsia="宋体"/>
          <w:sz w:val="20"/>
          <w:szCs w:val="20"/>
        </w:rPr>
        <w:t>。</w:t>
      </w: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highlight w:val="yellow"/>
        </w:rPr>
      </w:pPr>
      <w:r>
        <w:rPr>
          <w:rFonts w:hint="eastAsia"/>
          <w:sz w:val="20"/>
          <w:szCs w:val="20"/>
        </w:rPr>
        <w:t>式 (8)保留了普通车轮的滚动项与辊子带来的侧向项。轮毂相对小腿的编码器速度与绝对自转速度还相差小腿绕轮轴的转速；</w:t>
      </w:r>
      <w:r>
        <w:rPr>
          <w:rFonts w:hint="eastAsia"/>
          <w:sz w:val="20"/>
          <w:szCs w:val="20"/>
          <w:highlight w:val="yellow"/>
        </w:rPr>
        <w:t>腿部运动时应进行相应补偿。</w:t>
      </w:r>
    </w:p>
    <w:bookmarkEnd w:id="6"/>
    <w:p w14:paraId="5844043D">
      <w:pPr>
        <w:pStyle w:val="4"/>
        <w:numPr>
          <w:ilvl w:val="2"/>
          <w:numId w:val="0"/>
        </w:numPr>
        <w:snapToGrid w:val="0"/>
      </w:pPr>
      <w:bookmarkStart w:id="7" w:name="轮体动力学与足端力映射"/>
      <w:r>
        <w:t>4) 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w:t>
      </w:r>
      <w:r>
        <w:rPr>
          <w:rFonts w:hint="eastAsia"/>
          <w:sz w:val="20"/>
          <w:szCs w:val="20"/>
          <w:highlight w:val="yellow"/>
        </w:rPr>
        <w:t>电机转子侧减速比需要另行换算。</w:t>
      </w: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w:t>
      </w:r>
      <w:r>
        <w:rPr>
          <w:rFonts w:hint="eastAsia"/>
          <w:sz w:val="20"/>
          <w:szCs w:val="20"/>
          <w:highlight w:val="yellow"/>
        </w:rPr>
        <w:t>所有轮端力均须先变换至腿基系。</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w:t>
      </w:r>
      <w:r>
        <w:rPr>
          <w:rFonts w:hint="eastAsia"/>
          <w:iCs/>
          <w:highlight w:val="yellow"/>
        </w:rPr>
        <w:t>质心位置仅作示意。</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w:t>
      </w:r>
      <w:r>
        <w:rPr>
          <w:rFonts w:hint="eastAsia"/>
          <w:sz w:val="20"/>
          <w:szCs w:val="20"/>
          <w:highlight w:val="yellow"/>
        </w:rPr>
        <w:t>该解最小化接触力的欧氏范数。</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为上一周期的值；高度修正量及其增量的单位均为米。</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z w:val="20"/>
        </w:rPr>
      </w:pPr>
      <w:r>
        <w:rPr>
          <w:rFonts w:ascii="Times New Roman" w:hAnsi="Times New Roman" w:eastAsia="宋体"/>
          <w:sz w:val="20"/>
          <w:szCs w:val="20"/>
        </w:rPr>
        <w:t>机械臂由六个转动关节和末端连杆式夹爪组成，分别承担空间位姿调整与抓取动作。主体采用碳纤维板与铝制连接件组合的结构，关节通过齿轮及连杆传动传递运动；双侧支承和榫卯配合用于辅助部件定位与装配。结构设计围绕关节轴线、连杆中心距和工具安装关系展开，为基于 DH 坐标系的运动学建模提供几何依据。</w:t>
      </w:r>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六轴机械臂采用肘式臂与球腕结构，末三轴交于腕心，可将逆解分为前三轴定位和后三轴定姿。关节坐标系与连杆尺寸如 Fig. 8 所示。给定基坐标系 {0} 下的末端目标位置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，按照本文的工具坐标约定，腕心位置由末端沿工具负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得到，记为</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由前三轴关节角确定坐标系 {3} 到 {0} 的旋转矩阵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宋体"/>
          <w:sz w:val="20"/>
          <w:highlight w:val="yellow"/>
          <w:lang w:eastAsia="zh-CN"/>
        </w:rPr>
      </w:pPr>
      <w:r>
        <w:rPr>
          <w:rFonts w:hint="eastAsia"/>
          <w:sz w:val="20"/>
          <w:szCs w:val="20"/>
          <w:highlight w:val="yellow"/>
        </w:rPr>
        <w:t>对候选解进行位姿回代检查，选择与上一时刻关节角最接近的可行分支</w:t>
      </w:r>
      <w:r>
        <w:rPr>
          <w:rFonts w:hint="eastAsia"/>
          <w:sz w:val="20"/>
          <w:szCs w:val="20"/>
          <w:highlight w:val="yellow"/>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sz w:val="20"/>
          <w:szCs w:val="20"/>
        </w:rPr>
        <w:t>。</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blPrEx>
          <w:tblCellMar>
            <w:top w:w="0" w:type="dxa"/>
            <w:left w:w="108" w:type="dxa"/>
            <w:bottom w:w="0" w:type="dxa"/>
            <w:right w:w="108" w:type="dxa"/>
          </w:tblCellMar>
        </w:tblPrEx>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highlight w:val="yellow"/>
          <w:lang w:eastAsia="zh-CN"/>
        </w:rPr>
        <w:t>从二次方程候选根中</w:t>
      </w:r>
      <w:r>
        <w:rPr>
          <w:rFonts w:hint="eastAsia"/>
          <w:sz w:val="20"/>
          <w:szCs w:val="20"/>
          <w:highlight w:val="yellow"/>
        </w:rPr>
        <w:t>选择满足工作侧、机构装配分支和连续性条件的根</w:t>
      </w:r>
      <w:r>
        <w:rPr>
          <w:rFonts w:hint="eastAsia"/>
          <w:sz w:val="20"/>
          <w:szCs w:val="20"/>
        </w:rPr>
        <w:t>。</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x</m:t>
            </m:r>
          </m:sub>
        </m:sSub>
      </m:oMath>
      <w:r>
        <w:rPr>
          <w:rFonts w:ascii="Times New Roman" w:hAnsi="Times New Roman" w:eastAsia="宋体"/>
          <w:sz w:val="20"/>
          <w:szCs w:val="20"/>
        </w:rPr>
        <w:t>、</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y</m:t>
            </m:r>
          </m:sub>
        </m:sSub>
      </m:oMath>
      <w:r>
        <w:rPr>
          <w:rFonts w:ascii="Times New Roman" w:hAnsi="Times New Roman" w:eastAsia="宋体"/>
          <w:sz w:val="20"/>
          <w:szCs w:val="20"/>
        </w:rPr>
        <w:t>、</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分别为绕相应坐标轴的右手基本旋转矩阵。</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节的末端目标姿态和位置，关节指令由解析逆运动学（inverse kinematics，IK）映射得到：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具体而言，先由(20)扣除工具偏置得到腕心，再由(21)计算前三个关节角；随后用(22)求腕部相对姿态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，由(23)及零位偏置得到后三个关节角。保留与上一时刻最接近的可行解，作为六轴关节指令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7A120001">
      <w:pPr>
        <w:pStyle w:val="2"/>
        <w:numPr>
          <w:ilvl w:val="0"/>
          <w:numId w:val="0"/>
        </w:numPr>
        <w:snapToGrid w:val="0"/>
      </w:pPr>
      <w:r>
        <w:rPr>
          <w:rFonts w:ascii="Times New Roman" w:hAnsi="Times New Roman" w:eastAsia="宋体"/>
          <w:sz w:val="20"/>
          <w:szCs w:val="20"/>
        </w:rPr>
        <w:t>II. 实验与结果（Experiments and Results）</w:t>
      </w:r>
    </w:p>
    <w:p w14:paraId="7A120002">
      <w:pPr>
        <w:pStyle w:val="7"/>
        <w:numPr>
          <w:ilvl w:val="0"/>
          <w:numId w:val="0"/>
        </w:numPr>
        <w:snapToGrid w:val="0"/>
        <w:rPr>
          <w:sz w:val="20"/>
        </w:rPr>
      </w:pPr>
      <w:r>
        <w:rPr>
          <w:rFonts w:ascii="Times New Roman" w:hAnsi="Times New Roman" w:eastAsia="宋体"/>
          <w:sz w:val="20"/>
          <w:szCs w:val="20"/>
        </w:rPr>
        <w:t>本节基于本文设计的机械结构进行几何计算与工作空间分析，分别讨论底盘轮心、机械臂夹爪中心及遥操作控制器动平台中心的位置覆盖范围。以下数值用于说明结构参数与运动学映射之间的关系，属于几何分析结果；</w:t>
      </w:r>
      <w:r>
        <w:rPr>
          <w:rFonts w:ascii="Times New Roman" w:hAnsi="Times New Roman" w:eastAsia="宋体"/>
          <w:sz w:val="20"/>
          <w:szCs w:val="20"/>
          <w:highlight w:val="yellow"/>
        </w:rPr>
        <w:t>尚未据此评价实机跟踪误差、带载能力或动态性能。</w:t>
      </w:r>
    </w:p>
    <w:p w14:paraId="7A120003">
      <w:pPr>
        <w:pStyle w:val="3"/>
        <w:numPr>
          <w:ilvl w:val="1"/>
          <w:numId w:val="0"/>
        </w:numPr>
        <w:snapToGrid w:val="0"/>
      </w:pPr>
      <w:r>
        <w:rPr>
          <w:rFonts w:ascii="Times New Roman" w:hAnsi="Times New Roman" w:eastAsia="宋体"/>
          <w:sz w:val="20"/>
          <w:szCs w:val="20"/>
        </w:rPr>
        <w:t>A. 底盘轮心工作空间</w:t>
      </w:r>
    </w:p>
    <w:p w14:paraId="7A120004">
      <w:pPr>
        <w:pStyle w:val="7"/>
        <w:numPr>
          <w:ilvl w:val="0"/>
          <w:numId w:val="0"/>
        </w:numPr>
        <w:snapToGrid w:val="0"/>
        <w:rPr>
          <w:sz w:val="20"/>
        </w:rPr>
      </w:pPr>
      <w:r>
        <w:rPr>
          <w:rFonts w:ascii="Times New Roman" w:hAnsi="Times New Roman" w:eastAsia="宋体"/>
          <w:sz w:val="20"/>
          <w:szCs w:val="20"/>
        </w:rPr>
        <w:t>采用 TABLE I 中大腿和小腿的关节中心距 170 mm 和 220 mm，前后髋关节中心距为 360 mm。对选定构型进行几何计算，轮心至髋部的距离为 132.52–300.48 mm。进一步考虑横梁、轮胎及辅助连杆等实体之间的干涉，得到 Fig. 11 所示的前后轮心投影区域。该图以同侧前髋中心为绘图原点，横轴沿机身向后，纵轴向上；因此横轴与机体系的前向轴方向相反。</w:t>
      </w:r>
    </w:p>
    <w:p w14:paraId="7A120005">
      <w:pPr>
        <w:pStyle w:val="7"/>
        <w:numPr>
          <w:ilvl w:val="0"/>
          <w:numId w:val="0"/>
        </w:numPr>
        <w:snapToGrid w:val="0"/>
        <w:rPr>
          <w:sz w:val="20"/>
        </w:rPr>
      </w:pPr>
      <w:r>
        <w:rPr>
          <w:rFonts w:ascii="Times New Roman" w:hAnsi="Times New Roman" w:eastAsia="宋体"/>
          <w:sz w:val="20"/>
          <w:szCs w:val="20"/>
        </w:rPr>
        <w:t>采样结果中，前轮心相对髋部的竖直位置为 −300.48 至 166.46 mm，后轮心为 −300.48 至 −17.50 mm。两区域分别允许另一条腿采取避让姿态，因此不能将区域内任意两个位置直接组合为同时可达的前后轮目标。该结果为支撑高度与轮心前后位置的选择提供几何参考，</w:t>
      </w:r>
      <w:r>
        <w:rPr>
          <w:rFonts w:ascii="Times New Roman" w:hAnsi="Times New Roman" w:eastAsia="宋体"/>
          <w:sz w:val="20"/>
          <w:szCs w:val="20"/>
          <w:highlight w:val="yellow"/>
        </w:rPr>
        <w:t>具体组合仍需通过整机运动规划确定。</w:t>
      </w:r>
    </w:p>
    <w:p w14:paraId="7A120006">
      <w:pPr>
        <w:keepNext/>
        <w:keepLines/>
        <w:numPr>
          <w:ilvl w:val="0"/>
          <w:numId w:val="0"/>
        </w:numPr>
        <w:snapToGrid w:val="0"/>
        <w:spacing w:before="60" w:after="60" w:line="240" w:lineRule="auto"/>
        <w:ind w:left="0" w:right="0" w:firstLine="0"/>
        <w:jc w:val="center"/>
      </w:pPr>
      <w:r>
        <w:drawing>
          <wp:inline distT="0" distB="0" distL="0" distR="0">
            <wp:extent cx="3059430" cy="1751965"/>
            <wp:effectExtent l="0" t="0" r="0" b="0"/>
            <wp:docPr id="35"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 11" descr="Geometric workspace illustration"/>
                    <pic:cNvPicPr>
                      <a:picLocks noChangeAspect="1"/>
                    </pic:cNvPicPr>
                  </pic:nvPicPr>
                  <pic:blipFill>
                    <a:blip r:embed="rId17"/>
                    <a:stretch>
                      <a:fillRect/>
                    </a:stretch>
                  </pic:blipFill>
                  <pic:spPr>
                    <a:xfrm>
                      <a:off x="0" y="0"/>
                      <a:ext cx="3060000" cy="1752529"/>
                    </a:xfrm>
                    <a:prstGeom prst="rect">
                      <a:avLst/>
                    </a:prstGeom>
                  </pic:spPr>
                </pic:pic>
              </a:graphicData>
            </a:graphic>
          </wp:inline>
        </w:drawing>
      </w:r>
    </w:p>
    <w:p w14:paraId="7A120007">
      <w:pPr>
        <w:pStyle w:val="18"/>
        <w:numPr>
          <w:ilvl w:val="0"/>
          <w:numId w:val="0"/>
        </w:numPr>
        <w:snapToGrid w:val="0"/>
      </w:pPr>
      <w:r>
        <w:rPr>
          <w:rFonts w:ascii="Times New Roman" w:hAnsi="Times New Roman" w:eastAsia="宋体"/>
          <w:sz w:val="18"/>
          <w:szCs w:val="18"/>
        </w:rPr>
        <w:t>Fig. 11. 前后腿轮心的二维工作空间示意。蓝色与橙色分别表示前轮和后轮的位置覆盖区域；绘图原点位于前髋中心，横轴向后、纵轴向上。</w:t>
      </w:r>
    </w:p>
    <w:p w14:paraId="7A120008">
      <w:pPr>
        <w:pStyle w:val="3"/>
        <w:numPr>
          <w:ilvl w:val="1"/>
          <w:numId w:val="0"/>
        </w:numPr>
        <w:snapToGrid w:val="0"/>
      </w:pPr>
      <w:r>
        <w:rPr>
          <w:rFonts w:ascii="Times New Roman" w:hAnsi="Times New Roman" w:eastAsia="宋体"/>
          <w:sz w:val="20"/>
          <w:szCs w:val="20"/>
        </w:rPr>
        <w:t>B. 机械臂夹爪中心工作空间</w:t>
      </w:r>
    </w:p>
    <w:p w14:paraId="7A120009">
      <w:pPr>
        <w:pStyle w:val="7"/>
        <w:numPr>
          <w:ilvl w:val="0"/>
          <w:numId w:val="0"/>
        </w:numPr>
        <w:snapToGrid w:val="0"/>
        <w:rPr>
          <w:sz w:val="20"/>
        </w:rPr>
      </w:pPr>
      <w:r>
        <w:rPr>
          <w:rFonts w:ascii="Times New Roman" w:hAnsi="Times New Roman" w:eastAsia="宋体"/>
          <w:sz w:val="20"/>
          <w:szCs w:val="20"/>
        </w:rPr>
        <w:t>机械臂位置覆盖分析采用机械结构模型中的关节中心距与工具尺寸。其中，第二至第三关节的中心距为 360 mm，第三关节至腕心的轴向距离为 382 mm，腕心至夹爪中心的工具轴向距离为 184.1 mm。以第一关节底部中心为位置参考原点、竖直方向为高度方向，对机构构型进行几何采样，并将夹爪中心位置绘制为三维点云及径向–高度投影，如 Fig. 12 所示。</w:t>
      </w:r>
    </w:p>
    <w:p w14:paraId="7A120010">
      <w:pPr>
        <w:pStyle w:val="7"/>
        <w:numPr>
          <w:ilvl w:val="0"/>
          <w:numId w:val="0"/>
        </w:numPr>
        <w:snapToGrid w:val="0"/>
        <w:rPr>
          <w:sz w:val="20"/>
        </w:rPr>
      </w:pPr>
      <w:r>
        <w:rPr>
          <w:rFonts w:ascii="Times New Roman" w:hAnsi="Times New Roman" w:eastAsia="宋体"/>
          <w:sz w:val="20"/>
          <w:szCs w:val="20"/>
        </w:rPr>
        <w:t>夹爪中心的采样最大径向距离为 820.66 mm，竖直位置为 −237.44 至 683.52 mm。</w:t>
      </w:r>
      <w:r>
        <w:rPr>
          <w:rFonts w:ascii="Times New Roman" w:hAnsi="Times New Roman" w:eastAsia="宋体"/>
          <w:sz w:val="20"/>
          <w:szCs w:val="20"/>
          <w:highlight w:val="yellow"/>
        </w:rPr>
        <w:t>该结果未计入机械臂与机身等实体之间的碰撞，也仅描述位置覆盖，不能据此认定每个位置均可实现任意末端姿态。底盘升降会改变机械臂基座在惯性系中的位置；主从映射仍需结合当前基座位姿与目标姿态求取相应关节角。</w:t>
      </w:r>
    </w:p>
    <w:p w14:paraId="7A120011">
      <w:pPr>
        <w:keepNext/>
        <w:keepLines/>
        <w:numPr>
          <w:ilvl w:val="0"/>
          <w:numId w:val="0"/>
        </w:numPr>
        <w:snapToGrid w:val="0"/>
        <w:spacing w:before="60" w:after="60" w:line="240" w:lineRule="auto"/>
        <w:ind w:left="0" w:right="0" w:firstLine="0"/>
        <w:jc w:val="center"/>
      </w:pPr>
      <w:r>
        <w:drawing>
          <wp:inline distT="0" distB="0" distL="0" distR="0">
            <wp:extent cx="2879725" cy="4325620"/>
            <wp:effectExtent l="0" t="0" r="0" b="0"/>
            <wp:docPr id="36"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2" descr="Geometric workspace illustration"/>
                    <pic:cNvPicPr>
                      <a:picLocks noChangeAspect="1"/>
                    </pic:cNvPicPr>
                  </pic:nvPicPr>
                  <pic:blipFill>
                    <a:blip r:embed="rId18"/>
                    <a:srcRect l="33333"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Fig. 12. 夹爪中心的位置工作空间。上图为三维采样点云，下图为径向–高度投影；高度以前述第一关节底部中心为零点。</w:t>
      </w:r>
    </w:p>
    <w:p w14:paraId="7A120013">
      <w:pPr>
        <w:pStyle w:val="3"/>
        <w:numPr>
          <w:ilvl w:val="1"/>
          <w:numId w:val="0"/>
        </w:numPr>
        <w:snapToGrid w:val="0"/>
      </w:pPr>
      <w:r>
        <w:rPr>
          <w:rFonts w:ascii="Times New Roman" w:hAnsi="Times New Roman" w:eastAsia="宋体"/>
          <w:sz w:val="20"/>
          <w:szCs w:val="20"/>
        </w:rPr>
        <w:t>C. 遥操作控制器平移工作空间</w:t>
      </w:r>
    </w:p>
    <w:p w14:paraId="7A120014">
      <w:pPr>
        <w:pStyle w:val="7"/>
        <w:numPr>
          <w:ilvl w:val="0"/>
          <w:numId w:val="0"/>
        </w:numPr>
        <w:snapToGrid w:val="0"/>
        <w:rPr>
          <w:sz w:val="20"/>
        </w:rPr>
      </w:pPr>
      <w:r>
        <w:rPr>
          <w:rFonts w:ascii="Times New Roman" w:hAnsi="Times New Roman" w:eastAsia="宋体"/>
          <w:sz w:val="20"/>
          <w:szCs w:val="20"/>
        </w:rPr>
        <w:t>采用 TABLE II 的 Delta 机构几何参数，分析动平台中心位于工作侧时的几何可达位置，并将结果统一表达于本文定义的右手坐标系 {D}。Fig. 13 给出三维工作空间示意；</w:t>
      </w:r>
      <w:r>
        <w:rPr>
          <w:rFonts w:ascii="Times New Roman" w:hAnsi="Times New Roman" w:eastAsia="宋体"/>
          <w:sz w:val="20"/>
          <w:szCs w:val="20"/>
          <w:highlight w:val="yellow"/>
        </w:rPr>
        <w:t>分析仅考虑支链几何关系，未计入构件之间的实体碰撞。</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mm。外包络给出各方向的坐标跨度，</w:t>
      </w:r>
      <w:r>
        <w:rPr>
          <w:rFonts w:ascii="Times New Roman" w:hAnsi="Times New Roman" w:eastAsia="宋体"/>
          <w:sz w:val="20"/>
          <w:szCs w:val="20"/>
          <w:highlight w:val="yellow"/>
        </w:rPr>
        <w:t>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上述结果描述主手的平移输入空间，可作为位置映射比例与操作参考点选择的依据。配合手柄上的参考点重置按钮，可在保持从端目标连续的同时分段调整主手参考位置；三轴手柄的姿态输入则继续按前述动轴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59430" cy="2712085"/>
            <wp:effectExtent l="0" t="0" r="0" b="0"/>
            <wp:docPr id="37" name="Fig. 13"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3" descr="Geometric workspace illustration"/>
                    <pic:cNvPicPr>
                      <a:picLocks noChangeAspect="1"/>
                    </pic:cNvPicPr>
                  </pic:nvPicPr>
                  <pic:blipFill>
                    <a:blip r:embed="rId19"/>
                    <a:srcRect r="34000" b="6000"/>
                    <a:stretch>
                      <a:fillRect/>
                    </a:stretch>
                  </pic:blipFill>
                  <pic:spPr>
                    <a:xfrm>
                      <a:off x="0" y="0"/>
                      <a:ext cx="3060000" cy="2712550"/>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13. 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A278C2B">
      <w:pPr>
        <w:pStyle w:val="2"/>
        <w:numPr>
          <w:ilvl w:val="0"/>
          <w:numId w:val="0"/>
        </w:numPr>
        <w:snapToGrid w:val="0"/>
      </w:pPr>
      <w:bookmarkStart w:id="15" w:name="v.-结论conclusion"/>
      <w:r>
        <w:t>III.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highlight w:val="yellow"/>
        </w:rPr>
      </w:pPr>
      <w:r>
        <w:rPr>
          <w:rFonts w:hint="eastAsia"/>
          <w:sz w:val="20"/>
          <w:szCs w:val="20"/>
        </w:rPr>
        <w:t>本文形成了底盘移动与姿态控制、机械臂逆运动学及主从位姿映射相结合的控制流程。几何工作空间分析进一步给出了轮心、夹爪中心与主手动平台的位置覆盖范围，为结构参数选取及位姿映射提供了依据。</w:t>
      </w:r>
      <w:r>
        <w:rPr>
          <w:rFonts w:hint="eastAsia"/>
          <w:sz w:val="20"/>
          <w:szCs w:val="20"/>
          <w:highlight w:val="yellow"/>
        </w:rPr>
        <w:t>整机能耗、末端定位精度及重复任务成功率仍需定量评估</w:t>
      </w:r>
      <w:bookmarkStart w:id="17" w:name="_GoBack"/>
      <w:bookmarkEnd w:id="17"/>
      <w:r>
        <w:rPr>
          <w:rFonts w:hint="eastAsia"/>
          <w:sz w:val="20"/>
          <w:szCs w:val="20"/>
          <w:highlight w:val="yellow"/>
        </w:rPr>
        <w:t>。后续将完善带物理约束的接触力分配与主从标定，统一仿真和实机测试条件，并通过重复任务试验评价该方案的效率、精度和适用范围。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A35F8B"/>
    <w:rsid w:val="0E73251E"/>
    <w:rsid w:val="15B381E1"/>
    <w:rsid w:val="2FBF5FC8"/>
    <w:rsid w:val="32B6731B"/>
    <w:rsid w:val="37410393"/>
    <w:rsid w:val="47D2657C"/>
    <w:rsid w:val="47FBC7DB"/>
    <w:rsid w:val="561769D4"/>
    <w:rsid w:val="57810A1C"/>
    <w:rsid w:val="58CD5A9A"/>
    <w:rsid w:val="60044C25"/>
    <w:rsid w:val="677EF307"/>
    <w:rsid w:val="6EFF9550"/>
    <w:rsid w:val="75D62912"/>
    <w:rsid w:val="76286D4A"/>
    <w:rsid w:val="7A6D2D01"/>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9</Pages>
  <Words>3971</Words>
  <Characters>4632</Characters>
  <Lines>102</Lines>
  <Paragraphs>28</Paragraphs>
  <TotalTime>143</TotalTime>
  <ScaleCrop>false</ScaleCrop>
  <LinksUpToDate>false</LinksUpToDate>
  <CharactersWithSpaces>4790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月</cp:lastModifiedBy>
  <dcterms:modified xsi:type="dcterms:W3CDTF">2026-10-08T05:22:09Z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06269A97AD3E24A687D4C46A4532AFD6_42</vt:lpwstr>
  </property>
  <property fmtid="{D5CDD505-2E9C-101B-9397-08002B2CF9AE}" pid="4" name="KSOTemplateDocerSaveRecord">
    <vt:lpwstr>eyJoZGlkIjoiZDg5MjkwNTdmMmUzNjc3Yzk0NTc0YzM2NjI3NjczNjAiLCJ1c2VySWQiOiIxNjQ5ODQ1NTc3In0=</vt:lpwstr>
  </property>
</Properties>
</file>