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已有技术报告记录了底盘越障、姿态调节和主端重力补偿的功能演示，以及机械臂关节阶跃响应的改善。上述记录支持模块级实现的可行性；整机能耗、末端定位精度及重复任务成功率仍需统一测量验证。</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36D26F84">
      <w:pPr>
        <w:pStyle w:val="2"/>
        <w:numPr>
          <w:ilvl w:val="0"/>
          <w:numId w:val="0"/>
        </w:numPr>
        <w:snapToGrid w:val="0"/>
      </w:pPr>
      <w:bookmarkStart w:id="2" w:name="i.-引言introduction"/>
      <w:r>
        <w:t xml:space="preserve">I. </w:t>
      </w:r>
      <w:r>
        <w:rPr>
          <w:rFonts w:hint="eastAsia"/>
        </w:rPr>
        <w:t>引言（Introduction）</w:t>
      </w:r>
    </w:p>
    <w:p w14:paraId="47DE1758">
      <w:pPr>
        <w:pStyle w:val="7"/>
        <w:numPr>
          <w:ilvl w:val="0"/>
          <w:numId w:val="0"/>
        </w:numPr>
        <w:snapToGrid w:val="0"/>
        <w:rPr>
          <w:sz w:val="20"/>
        </w:rPr>
      </w:pPr>
      <w:r>
        <w:rPr>
          <w:rFonts w:hint="eastAsia"/>
          <w:sz w:val="20"/>
          <w:szCs w:val="20"/>
        </w:rPr>
        <w:t>非结构化环境中的移动作业不仅要求机器人抵达目标区域，还要求其完成抓取、搬运和设备操作。腿式机构能够调整支撑位置与机身姿态，车轮有利于连续滚动，机械臂则提供独立的末端作业空间。将三者结合，可以扩大机器人可执行任务的范围，但也引入了质量分布变化、轮地接触约束以及主从运动映射等问题。</w:t>
      </w:r>
    </w:p>
    <w:p w14:paraId="37E83009">
      <w:pPr>
        <w:pStyle w:val="7"/>
        <w:numPr>
          <w:ilvl w:val="0"/>
          <w:numId w:val="0"/>
        </w:numPr>
        <w:snapToGrid w:val="0"/>
        <w:rPr>
          <w:sz w:val="20"/>
        </w:rPr>
      </w:pPr>
      <w:r>
        <w:rPr>
          <w:rFonts w:hint="eastAsia"/>
          <w:sz w:val="20"/>
          <w:szCs w:val="20"/>
        </w:rPr>
        <w:t>已有轮足移动操作研究分别从学习控制、机构重构和人机交互等方向开展探索。Wang</w:t>
      </w:r>
      <w:r>
        <w:rPr>
          <w:sz w:val="20"/>
          <w:szCs w:val="20"/>
        </w:rPr>
        <w:t xml:space="preserve"> </w:t>
      </w:r>
      <w:r>
        <w:rPr>
          <w:rFonts w:hint="eastAsia"/>
          <w:sz w:val="20"/>
          <w:szCs w:val="20"/>
        </w:rPr>
        <w:t>等利用带机械臂约束的课程学习实现轮足机器人的移动操作</w:t>
      </w:r>
      <w:r>
        <w:rPr>
          <w:sz w:val="20"/>
          <w:szCs w:val="20"/>
        </w:rPr>
        <w:t xml:space="preserve"> </w:t>
      </w:r>
      <w:r>
        <w:rPr>
          <w:rFonts w:hint="eastAsia"/>
          <w:sz w:val="20"/>
          <w:szCs w:val="20"/>
        </w:rPr>
        <w:t>[1]；Zhang</w:t>
      </w:r>
      <w:r>
        <w:rPr>
          <w:sz w:val="20"/>
          <w:szCs w:val="20"/>
        </w:rPr>
        <w:t xml:space="preserve"> </w:t>
      </w:r>
      <w:r>
        <w:rPr>
          <w:rFonts w:hint="eastAsia"/>
          <w:sz w:val="20"/>
          <w:szCs w:val="20"/>
        </w:rPr>
        <w:t>等通过主动对接机构和模块化控制实现轮足双臂机器人的构型切换</w:t>
      </w:r>
      <w:r>
        <w:rPr>
          <w:sz w:val="20"/>
          <w:szCs w:val="20"/>
        </w:rPr>
        <w:t xml:space="preserve"> </w:t>
      </w:r>
      <w:r>
        <w:rPr>
          <w:rFonts w:hint="eastAsia"/>
          <w:sz w:val="20"/>
          <w:szCs w:val="20"/>
        </w:rPr>
        <w:t>[2]；Cruz</w:t>
      </w:r>
      <w:r>
        <w:rPr>
          <w:sz w:val="20"/>
          <w:szCs w:val="20"/>
        </w:rPr>
        <w:t xml:space="preserve"> Ulloa </w:t>
      </w:r>
      <w:r>
        <w:rPr>
          <w:rFonts w:hint="eastAsia"/>
          <w:sz w:val="20"/>
          <w:szCs w:val="20"/>
        </w:rPr>
        <w:t>等将混合现实遥操作用于四足机械臂搜救辅助任务</w:t>
      </w:r>
      <w:r>
        <w:rPr>
          <w:sz w:val="20"/>
          <w:szCs w:val="20"/>
        </w:rPr>
        <w:t xml:space="preserve"> </w:t>
      </w:r>
      <w:r>
        <w:rPr>
          <w:rFonts w:hint="eastAsia"/>
          <w:sz w:val="20"/>
          <w:szCs w:val="20"/>
        </w:rPr>
        <w:t>[3]。这些工作表明，运动与操作的结合具有实际价值，也说明控制策略需要与机构、执行器和任务条件共同设计。</w:t>
      </w:r>
    </w:p>
    <w:p w14:paraId="660F3A62">
      <w:pPr>
        <w:pStyle w:val="7"/>
        <w:numPr>
          <w:ilvl w:val="0"/>
          <w:numId w:val="0"/>
        </w:numPr>
        <w:snapToGrid w:val="0"/>
        <w:rPr>
          <w:sz w:val="20"/>
        </w:rPr>
      </w:pPr>
      <w:r>
        <w:rPr>
          <w:rFonts w:hint="eastAsia"/>
          <w:sz w:val="20"/>
          <w:szCs w:val="20"/>
        </w:rPr>
        <w:t>本文关注采用微控制器部署的轮足移动操作平台。相对于每腿包含三个腿部转动关节及一个轮驱动的四轮足构型，本文底盘省去四个髋部滚转自由度，以麦克纳姆轮的平面全向运动能力补充转向与侧移能力。这里的十二自由度与十六自由度比较仅针对底盘主动自由度，不包括六轴机械臂和夹爪，也不将所有点足或轮足机器人概括为同一种构型。减少执行器数量为降低质量和控制复杂度提供了结构基础，实际节能效果仍取决于传动、滚动损耗和运动工况。</w:t>
      </w:r>
    </w:p>
    <w:p w14:paraId="63A2EEC9">
      <w:pPr>
        <w:pStyle w:val="7"/>
        <w:numPr>
          <w:ilvl w:val="0"/>
          <w:numId w:val="0"/>
        </w:numPr>
        <w:snapToGrid w:val="0"/>
        <w:rPr>
          <w:sz w:val="20"/>
        </w:rPr>
      </w:pPr>
      <w:r>
        <w:rPr>
          <w:rFonts w:hint="eastAsia"/>
          <w:sz w:val="20"/>
          <w:szCs w:val="20"/>
        </w:rPr>
        <w:t>本文沿用技术报告</w:t>
      </w:r>
      <w:r>
        <w:rPr>
          <w:sz w:val="20"/>
          <w:szCs w:val="20"/>
        </w:rPr>
        <w:t xml:space="preserve"> [4] </w:t>
      </w:r>
      <w:r>
        <w:rPr>
          <w:rFonts w:hint="eastAsia"/>
          <w:sz w:val="20"/>
          <w:szCs w:val="20"/>
        </w:rPr>
        <w:t>的系统路线，并参考仓库机械设计资料</w:t>
      </w:r>
      <w:r>
        <w:rPr>
          <w:sz w:val="20"/>
          <w:szCs w:val="20"/>
        </w:rPr>
        <w:t xml:space="preserve"> [5] </w:t>
      </w:r>
      <w:r>
        <w:rPr>
          <w:rFonts w:hint="eastAsia"/>
          <w:sz w:val="20"/>
          <w:szCs w:val="20"/>
        </w:rPr>
        <w:t>补充结构说明，主要贡献为：第一，将两关节轮腿、麦克纳姆轮及六轴夹爪机械臂集成为移动操作平台；第二，建立从整机期望合力与合力矩到足端力、关节力矩和电机力矩的分层映射，结合姿态反馈形成便于嵌入式实现的控制链；第三，通过</w:t>
      </w:r>
      <w:r>
        <w:rPr>
          <w:sz w:val="20"/>
          <w:szCs w:val="20"/>
        </w:rPr>
        <w:t xml:space="preserve"> Delta </w:t>
      </w:r>
      <w:r>
        <w:rPr>
          <w:rFonts w:hint="eastAsia"/>
          <w:sz w:val="20"/>
          <w:szCs w:val="20"/>
        </w:rPr>
        <w:t>三平移机构和三转动编码器手柄构成异构主端，通过主从位姿映射与解析逆解完成末端位姿输入。本文对已有记录进行整理和分析，不将尚未完成的约束优化或未测量的性能指标作为实验结果。</w:t>
      </w:r>
    </w:p>
    <w:bookmarkEnd w:id="2"/>
    <w:p w14:paraId="19F195F8">
      <w:pPr>
        <w:pStyle w:val="2"/>
        <w:numPr>
          <w:ilvl w:val="0"/>
          <w:numId w:val="0"/>
        </w:numPr>
        <w:snapToGrid w:val="0"/>
      </w:pPr>
      <w:bookmarkStart w:id="3" w:name="ii.-相关工作related-work"/>
      <w:r>
        <w:t xml:space="preserve">II. </w:t>
      </w:r>
      <w:r>
        <w:rPr>
          <w:rFonts w:hint="eastAsia"/>
        </w:rPr>
        <w:t>相关工作（Related</w:t>
      </w:r>
      <w:r>
        <w:t xml:space="preserve"> </w:t>
      </w:r>
      <w:r>
        <w:rPr>
          <w:rFonts w:hint="eastAsia"/>
        </w:rPr>
        <w:t>Work）</w:t>
      </w:r>
    </w:p>
    <w:p w14:paraId="5D7CCAED">
      <w:pPr>
        <w:pStyle w:val="3"/>
        <w:numPr>
          <w:ilvl w:val="1"/>
          <w:numId w:val="0"/>
        </w:numPr>
        <w:snapToGrid w:val="0"/>
      </w:pPr>
      <w:bookmarkStart w:id="4" w:name="a.-轮足移动操作与整机控制"/>
      <w:r>
        <w:t xml:space="preserve">A. </w:t>
      </w:r>
      <w:r>
        <w:rPr>
          <w:rFonts w:hint="eastAsia"/>
        </w:rPr>
        <w:t>轮足移动操作与整机控制</w:t>
      </w:r>
    </w:p>
    <w:p w14:paraId="6E8339BB">
      <w:pPr>
        <w:pStyle w:val="7"/>
        <w:numPr>
          <w:ilvl w:val="0"/>
          <w:numId w:val="0"/>
        </w:numPr>
        <w:snapToGrid w:val="0"/>
        <w:rPr>
          <w:sz w:val="20"/>
        </w:rPr>
      </w:pPr>
      <w:r>
        <w:rPr>
          <w:rFonts w:hint="eastAsia"/>
          <w:sz w:val="20"/>
          <w:szCs w:val="20"/>
        </w:rPr>
        <w:t>移动机械臂的控制需要兼顾机身稳定与末端运动。[1]</w:t>
      </w:r>
      <w:r>
        <w:rPr>
          <w:sz w:val="20"/>
          <w:szCs w:val="20"/>
        </w:rPr>
        <w:t xml:space="preserve"> </w:t>
      </w:r>
      <w:r>
        <w:rPr>
          <w:rFonts w:hint="eastAsia"/>
          <w:sz w:val="20"/>
          <w:szCs w:val="20"/>
        </w:rPr>
        <w:t>将机械臂约束引入强化学习，并通过课程设计协调移动与操作；其方法包含训练、策略部署和实机验证环节。[2]</w:t>
      </w:r>
      <w:r>
        <w:rPr>
          <w:sz w:val="20"/>
          <w:szCs w:val="20"/>
        </w:rPr>
        <w:t xml:space="preserve"> </w:t>
      </w:r>
      <w:r>
        <w:rPr>
          <w:rFonts w:hint="eastAsia"/>
          <w:sz w:val="20"/>
          <w:szCs w:val="20"/>
        </w:rPr>
        <w:t>采用虚拟模型控制与线性二次调节器，并对多模块连接后的姿态和转向进行协调。这些工作面向不同机构和任务，不能直接用其性能数字与本文平台作横向比较。</w:t>
      </w:r>
    </w:p>
    <w:p w14:paraId="5B4021E3">
      <w:pPr>
        <w:pStyle w:val="7"/>
        <w:numPr>
          <w:ilvl w:val="0"/>
          <w:numId w:val="0"/>
        </w:numPr>
        <w:snapToGrid w:val="0"/>
        <w:rPr>
          <w:sz w:val="20"/>
        </w:rPr>
      </w:pPr>
      <w:r>
        <w:rPr>
          <w:rFonts w:hint="eastAsia"/>
          <w:sz w:val="20"/>
          <w:szCs w:val="20"/>
        </w:rPr>
        <w:t>本文采用解析运动学、刚体近似和关节反馈，重点是形成可解释、可分模块调试的控制流程。单刚体模型省略了部分连杆惯性和快速运动耦合，计算负担较小，但其适用范围也相应受限。技术报告讨论了带摩擦约束的二次规划及后续模型预测控制路线，同时明确说明演示阶段尚未实现二次规划前馈</w:t>
      </w:r>
      <w:r>
        <w:rPr>
          <w:sz w:val="20"/>
          <w:szCs w:val="20"/>
        </w:rPr>
        <w:t xml:space="preserve"> </w:t>
      </w:r>
      <w:r>
        <w:rPr>
          <w:rFonts w:hint="eastAsia"/>
          <w:sz w:val="20"/>
          <w:szCs w:val="20"/>
        </w:rPr>
        <w:t>[4]。因此，本文保留原稿中的最小范数分配作为简化基线，并说明其物理可行性条件。</w:t>
      </w:r>
    </w:p>
    <w:bookmarkEnd w:id="4"/>
    <w:p w14:paraId="34DCAAD9">
      <w:pPr>
        <w:pStyle w:val="3"/>
        <w:numPr>
          <w:ilvl w:val="1"/>
          <w:numId w:val="0"/>
        </w:numPr>
        <w:snapToGrid w:val="0"/>
      </w:pPr>
      <w:bookmarkStart w:id="5" w:name="b.-遥操作与异构主端"/>
      <w:r>
        <w:t xml:space="preserve">B. </w:t>
      </w:r>
      <w:r>
        <w:rPr>
          <w:rFonts w:hint="eastAsia"/>
        </w:rPr>
        <w:t>遥操作与异构主端</w:t>
      </w:r>
    </w:p>
    <w:p w14:paraId="78F75090">
      <w:pPr>
        <w:pStyle w:val="7"/>
        <w:numPr>
          <w:ilvl w:val="0"/>
          <w:numId w:val="0"/>
        </w:numPr>
        <w:snapToGrid w:val="0"/>
        <w:rPr>
          <w:sz w:val="20"/>
        </w:rPr>
      </w:pPr>
      <w:r>
        <w:rPr>
          <w:sz w:val="20"/>
          <w:szCs w:val="20"/>
        </w:rPr>
        <w:t xml:space="preserve">[3] </w:t>
      </w:r>
      <w:r>
        <w:rPr>
          <w:rFonts w:hint="eastAsia"/>
          <w:sz w:val="20"/>
          <w:szCs w:val="20"/>
        </w:rPr>
        <w:t>通过混合现实接口改善四足机械臂的任务交互，表明操作者输入方式会影响移动操作的执行过程。本文采用实体位姿输入装置：Delta</w:t>
      </w:r>
      <w:r>
        <w:rPr>
          <w:sz w:val="20"/>
          <w:szCs w:val="20"/>
        </w:rPr>
        <w:t xml:space="preserve"> </w:t>
      </w:r>
      <w:r>
        <w:rPr>
          <w:rFonts w:hint="eastAsia"/>
          <w:sz w:val="20"/>
          <w:szCs w:val="20"/>
        </w:rPr>
        <w:t>并联机构测量手柄平移，串联的三转动机构测量手柄姿态。主端与从端无需具有相同关节构型，其联系由笛卡尔空间映射建立。</w:t>
      </w:r>
    </w:p>
    <w:p w14:paraId="6C6EC27F">
      <w:pPr>
        <w:pStyle w:val="7"/>
        <w:numPr>
          <w:ilvl w:val="0"/>
          <w:numId w:val="0"/>
        </w:numPr>
        <w:snapToGrid w:val="0"/>
        <w:rPr>
          <w:sz w:val="20"/>
        </w:rPr>
      </w:pPr>
      <w:r>
        <w:rPr>
          <w:rFonts w:hint="eastAsia"/>
          <w:sz w:val="20"/>
          <w:szCs w:val="20"/>
        </w:rPr>
        <w:t>位置缩放、坐标校准和关节解支选择决定了异构映射的连续性；编码器分辨率本身并不等于末端定位精度。本文主端的力矩前馈用于抵消自身重力，现有资料未提供从端接触力回传和双边力反馈实验，故不将其表述为已实现环境力觉再现的系统。</w:t>
      </w:r>
    </w:p>
    <w:bookmarkEnd w:id="3"/>
    <w:bookmarkEnd w:id="5"/>
    <w:p w14:paraId="1B8FE646">
      <w:pPr>
        <w:pStyle w:val="2"/>
        <w:numPr>
          <w:ilvl w:val="0"/>
          <w:numId w:val="0"/>
        </w:numPr>
        <w:snapToGrid w:val="0"/>
      </w:pPr>
      <w:bookmarkStart w:id="6" w:name="iii.-提出的方法proposed-method"/>
      <w:r>
        <w:t xml:space="preserve">III. </w:t>
      </w:r>
      <w:r>
        <w:rPr>
          <w:rFonts w:hint="eastAsia"/>
        </w:rPr>
        <w:t>提出的方法（Proposed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系统由十二自由度四轮足底盘、六转动关节机械臂及单自由度夹爪、Delta</w:t>
      </w:r>
      <w:r>
        <w:rPr>
          <w:sz w:val="20"/>
          <w:szCs w:val="20"/>
        </w:rPr>
        <w:t xml:space="preserve"> </w:t>
      </w:r>
      <w:r>
        <w:rPr>
          <w:rFonts w:hint="eastAsia"/>
          <w:sz w:val="20"/>
          <w:szCs w:val="20"/>
        </w:rPr>
        <w:t>异构遥操作控制器组成。机器人端共有十九个主动自由度；主端的三个平移自由度与三个姿态输入自由度单独计数。底盘上层框架采用碳纤维方管，下层采用铝方管，并结合碳纤维板与铝制连接件形成分层结构。两路腿部驱动集中在髋部，通过平行四边形机构传递膝部运动，降低电机随小腿摆动的惯量。机械臂采用碳纤维板和铝制加工件，夹爪采用连杆与滑轨结构</w:t>
      </w:r>
      <w:r>
        <w:rPr>
          <w:sz w:val="20"/>
          <w:szCs w:val="20"/>
        </w:rPr>
        <w:t xml:space="preserve"> </w:t>
      </w:r>
      <w:r>
        <w:rPr>
          <w:rFonts w:hint="eastAsia"/>
          <w:sz w:val="20"/>
          <w:szCs w:val="20"/>
        </w:rPr>
        <w:t>[5]。这些设计体现轻量化目标，但现有资料尚不足以给出等强度结构的减重百分比。</w:t>
      </w:r>
    </w:p>
    <w:p w14:paraId="06F7C4A3">
      <w:pPr>
        <w:pStyle w:val="7"/>
        <w:numPr>
          <w:ilvl w:val="0"/>
          <w:numId w:val="0"/>
        </w:numPr>
        <w:snapToGrid w:val="0"/>
        <w:rPr>
          <w:sz w:val="20"/>
        </w:rPr>
      </w:pPr>
      <w:r>
        <w:rPr>
          <w:rFonts w:hint="eastAsia"/>
          <w:sz w:val="20"/>
          <w:szCs w:val="20"/>
        </w:rPr>
        <w:t>控制流程如</w:t>
      </w:r>
      <w:r>
        <w:rPr>
          <w:sz w:val="20"/>
          <w:szCs w:val="20"/>
        </w:rPr>
        <w:t xml:space="preserve"> Fig. 1 </w:t>
      </w:r>
      <w:r>
        <w:rPr>
          <w:rFonts w:hint="eastAsia"/>
          <w:sz w:val="20"/>
          <w:szCs w:val="20"/>
        </w:rPr>
        <w:t>所示。底盘控制器接收期望平面速度、机身高度和姿态，分别计算轮速、关节位置及前馈力矩；机械臂控制器接收主端位姿，经坐标映射与逆解后生成关节指令。关节层采用位置与速度串级反馈，模型前馈与反馈输出在执行器侧叠加。</w:t>
      </w:r>
    </w:p>
    <w:p w14:paraId="11FB4EBB">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CFCF1DB">
      <w:pPr>
        <w:pStyle w:val="18"/>
        <w:numPr>
          <w:ilvl w:val="0"/>
          <w:numId w:val="0"/>
        </w:numPr>
        <w:snapToGrid w:val="0"/>
      </w:pPr>
      <w:r>
        <w:rPr>
          <w:iCs/>
        </w:rPr>
        <w:t xml:space="preserve">Fig. 1. </w:t>
      </w:r>
      <w:r>
        <w:rPr>
          <w:rFonts w:hint="eastAsia"/>
          <w:iCs/>
        </w:rPr>
        <w:t>整体结构与分层控制框图（留白，待补图）。</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沿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。此处将原稿“足端位置”明确为轮轴中心，区别于轮地触点。零位为两连杆沿腿基系负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2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2"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2" descr="单腿结构与坐标系示意图"/>
                    <pic:cNvPicPr>
                      <a:picLocks noChangeAspect="1"/>
                    </pic:cNvPicPr>
                  </pic:nvPicPr>
                  <pic:blipFill>
                    <a:blip r:embed="rId4"/>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2. </w:t>
      </w:r>
      <w:r>
        <w:rPr>
          <w:rFonts w:hint="eastAsia"/>
          <w:iCs/>
        </w:rPr>
        <w:t>单腿结构与坐标系示意（图中角度标记沿用原图，解算零位以正文为准）。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blPrEx>
          <w:tblCellMar>
            <w:top w:w="0" w:type="dxa"/>
            <w:left w:w="108" w:type="dxa"/>
            <w:bottom w:w="0" w:type="dxa"/>
            <w:right w:w="108" w:type="dxa"/>
          </w:tblCellMar>
        </w:tblPrEx>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blPrEx>
          <w:tblCellMar>
            <w:top w:w="0" w:type="dxa"/>
            <w:left w:w="108" w:type="dxa"/>
            <w:bottom w:w="0" w:type="dxa"/>
            <w:right w:w="108" w:type="dxa"/>
          </w:tblCellMar>
        </w:tblPrEx>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[5]</w:t>
            </w:r>
          </w:p>
        </w:tc>
      </w:tr>
      <w:tr w14:paraId="6510FC3D">
        <w:tblPrEx>
          <w:tblCellMar>
            <w:top w:w="0" w:type="dxa"/>
            <w:left w:w="108" w:type="dxa"/>
            <w:bottom w:w="0" w:type="dxa"/>
            <w:right w:w="108" w:type="dxa"/>
          </w:tblCellMar>
        </w:tblPrEx>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[5]</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blPrEx>
          <w:tblCellMar>
            <w:top w:w="0" w:type="dxa"/>
            <w:left w:w="108" w:type="dxa"/>
            <w:bottom w:w="0" w:type="dxa"/>
            <w:right w:w="108" w:type="dxa"/>
          </w:tblCellMar>
        </w:tblPrEx>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blPrEx>
          <w:tblCellMar>
            <w:top w:w="0" w:type="dxa"/>
            <w:left w:w="108" w:type="dxa"/>
            <w:bottom w:w="0" w:type="dxa"/>
            <w:right w:w="108" w:type="dxa"/>
          </w:tblCellMar>
        </w:tblPrEx>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[4]</w:t>
            </w:r>
          </w:p>
        </w:tc>
      </w:tr>
      <w:tr w14:paraId="5C436678">
        <w:tblPrEx>
          <w:tblCellMar>
            <w:top w:w="0" w:type="dxa"/>
            <w:left w:w="108" w:type="dxa"/>
            <w:bottom w:w="0" w:type="dxa"/>
            <w:right w:w="108" w:type="dxa"/>
          </w:tblCellMar>
        </w:tblPrEx>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rPr>
                <w:sz w:val="16"/>
              </w:rPr>
            </w:pPr>
            <m:oMath>
              <m:r>
                <m:rPr>
                  <m:sty m:val="p"/>
                </m:rPr>
                <w:rPr>
                  <w:rFonts w:ascii="Cambria Math" w:hAnsi="Cambria Math" w:eastAsia="Cambria Math" w:cs="Cambria Math"/>
                  <w:sz w:val="16"/>
                  <w:szCs w:val="16"/>
                </w:rPr>
                <m:t>m</m:t>
              </m:r>
            </m:oMath>
            <w:r>
              <w:rPr>
                <w:rFonts w:hint="eastAsia"/>
                <w:sz w:val="16"/>
                <w:szCs w:val="16"/>
              </w:rPr>
              <w:t>，待标定</w:t>
            </w:r>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保留原稿的几何逆解分支，定义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在原稿所用轮心位于髋部下方的分支内，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的零位不同，[5]</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3 </w:t>
      </w:r>
      <w:r>
        <w:rPr>
          <w:rFonts w:hint="eastAsia"/>
          <w:sz w:val="20"/>
          <w:szCs w:val="20"/>
        </w:rPr>
        <w:t>给出仓库已有的两种轮体结构。与普通车轮相比，被动辊子允许接触点沿特定方向运动，四轮适当配置后可产生前进、侧移和偏航运动。</w:t>
      </w:r>
    </w:p>
    <w:p w14:paraId="0565082C">
      <w:pPr>
        <w:keepNext/>
        <w:numPr>
          <w:ilvl w:val="0"/>
          <w:numId w:val="0"/>
        </w:numPr>
        <w:snapToGrid w:val="0"/>
      </w:pPr>
      <w:r>
        <w:drawing>
          <wp:inline distT="0" distB="0" distL="114300" distR="114300">
            <wp:extent cx="3081020" cy="1002665"/>
            <wp:effectExtent l="0" t="0" r="5080" b="6985"/>
            <wp:docPr id="20" name="Picture" descr="Fig. 3(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3(a). A 型麦克纳姆轮结构。"/>
                    <pic:cNvPicPr>
                      <a:picLocks noChangeAspect="1" noChangeArrowheads="1"/>
                    </pic:cNvPicPr>
                  </pic:nvPicPr>
                  <pic:blipFill>
                    <a:blip r:embed="rId5"/>
                    <a:srcRect l="4706" t="17564" r="8015" b="15381"/>
                    <a:stretch>
                      <a:fillRect/>
                    </a:stretch>
                  </pic:blipFill>
                  <pic:spPr>
                    <a:xfrm>
                      <a:off x="0" y="0"/>
                      <a:ext cx="3081020" cy="1002665"/>
                    </a:xfrm>
                    <a:prstGeom prst="rect">
                      <a:avLst/>
                    </a:prstGeom>
                    <a:noFill/>
                    <a:ln w="9525">
                      <a:noFill/>
                    </a:ln>
                  </pic:spPr>
                </pic:pic>
              </a:graphicData>
            </a:graphic>
          </wp:inline>
        </w:drawing>
      </w:r>
    </w:p>
    <w:p w14:paraId="3C3A4174">
      <w:pPr>
        <w:pStyle w:val="18"/>
        <w:numPr>
          <w:ilvl w:val="0"/>
          <w:numId w:val="0"/>
        </w:numPr>
        <w:snapToGrid w:val="0"/>
      </w:pPr>
      <w:r>
        <w:t xml:space="preserve">Fig. 3(a). A </w:t>
      </w:r>
      <w:r>
        <w:rPr>
          <w:rFonts w:hint="eastAsia"/>
        </w:rPr>
        <w:t>型麦克纳姆轮结构。</w:t>
      </w:r>
    </w:p>
    <w:p w14:paraId="37442ACE">
      <w:pPr>
        <w:keepNext/>
        <w:numPr>
          <w:ilvl w:val="0"/>
          <w:numId w:val="0"/>
        </w:numPr>
        <w:snapToGrid w:val="0"/>
      </w:pPr>
      <w:r>
        <w:drawing>
          <wp:inline distT="0" distB="0" distL="114300" distR="114300">
            <wp:extent cx="3089910" cy="989965"/>
            <wp:effectExtent l="0" t="0" r="0" b="0"/>
            <wp:docPr id="23" name="Picture" descr="Fig. 3(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3(b). B 型麦克纳姆轮结构。"/>
                    <pic:cNvPicPr>
                      <a:picLocks noChangeAspect="1" noChangeArrowheads="1"/>
                    </pic:cNvPicPr>
                  </pic:nvPicPr>
                  <pic:blipFill>
                    <a:blip r:embed="rId6"/>
                    <a:stretch>
                      <a:fillRect/>
                    </a:stretch>
                  </pic:blipFill>
                  <pic:spPr>
                    <a:xfrm>
                      <a:off x="0" y="0"/>
                      <a:ext cx="3089910" cy="990494"/>
                    </a:xfrm>
                    <a:prstGeom prst="rect">
                      <a:avLst/>
                    </a:prstGeom>
                    <a:noFill/>
                    <a:ln w="9525">
                      <a:noFill/>
                    </a:ln>
                  </pic:spPr>
                </pic:pic>
              </a:graphicData>
            </a:graphic>
          </wp:inline>
        </w:drawing>
      </w:r>
    </w:p>
    <w:p w14:paraId="3CC11875">
      <w:pPr>
        <w:pStyle w:val="18"/>
        <w:numPr>
          <w:ilvl w:val="0"/>
          <w:numId w:val="0"/>
        </w:numPr>
        <w:snapToGrid w:val="0"/>
      </w:pPr>
      <w:r>
        <w:t xml:space="preserve">Fig. 3(b). B </w:t>
      </w:r>
      <w:r>
        <w:rPr>
          <w:rFonts w:hint="eastAsia"/>
        </w:rPr>
        <w:t>型麦克纳姆轮结构。</w:t>
      </w:r>
    </w:p>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原稿中的</w:t>
      </w:r>
      <w:r>
        <w:rPr>
          <w:sz w:val="20"/>
          <w:szCs w:val="20"/>
        </w:rPr>
        <w:t xml:space="preserve"> </w:t>
      </w:r>
      <m:oMath>
        <m:r>
          <m:rPr>
            <m:sty m:val="p"/>
          </m:rPr>
          <w:rPr>
            <w:rFonts w:ascii="Cambria Math" w:hAnsi="Cambria Math" w:eastAsia="Cambria Math" w:cs="Cambria Math"/>
            <w:sz w:val="20"/>
            <w:szCs w:val="20"/>
          </w:rPr>
          <m:t>cot</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在</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时与此式相同；这里依据角度定义统一为</w:t>
      </w:r>
      <w:r>
        <w:rPr>
          <w:sz w:val="20"/>
          <w:szCs w:val="20"/>
        </w:rPr>
        <w:t xml:space="preserve"> </w:t>
      </w:r>
      <m:oMath>
        <m:r>
          <m:rPr>
            <m:sty m:val="p"/>
          </m:rPr>
          <w:rPr>
            <w:rFonts w:ascii="Cambria Math" w:hAnsi="Cambria Math" w:eastAsia="Cambria Math" w:cs="Cambria Math"/>
            <w:sz w:val="20"/>
            <w:szCs w:val="20"/>
          </w:rPr>
          <m:t>tan</m:t>
        </m:r>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oMath>
      <w:r>
        <w:rPr>
          <w:rFonts w:hint="eastAsia"/>
          <w:sz w:val="20"/>
          <w:szCs w:val="20"/>
        </w:rPr>
        <w:t>。该式保留了普通车轮的滚动项与辊子带来的侧向项。轮毂相对小腿的编码器速度与绝对自转速度还相差小腿绕轮轴的转速；腿部运动时应进行相应补偿。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直接对所有连杆求解完整动力学会增加参数标定与实时计算负担。本文保留原稿的分层思路，先对具有独立质量的轮体建模，再通过虚功原理将轮端载荷映射到腿部驱动。Fig.</w:t>
      </w:r>
      <w:r>
        <w:rPr>
          <w:sz w:val="20"/>
          <w:szCs w:val="20"/>
        </w:rPr>
        <w:t xml:space="preserve"> 4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4"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4" descr="车轮受力示意图：接触力、轴端作用力、重力、驱动力矩与力臂"/>
                    <pic:cNvPicPr>
                      <a:picLocks noChangeAspect="1"/>
                    </pic:cNvPicPr>
                  </pic:nvPicPr>
                  <pic:blipFill>
                    <a:blip r:embed="rId7"/>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4.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该表达式取轮轴方向投影；其余方向的约束力矩由轴承和机构承担。报告的简化实现忽略陀螺项。低速近似下可以采用这一处理，但不能据此将快速转动时的惯性耦合恒等置零。</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5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5"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5" descr="基于底盘立体构型的整机质心与四轮接触力示意图"/>
                    <pic:cNvPicPr>
                      <a:picLocks noChangeAspect="1"/>
                    </pic:cNvPicPr>
                  </pic:nvPicPr>
                  <pic:blipFill>
                    <a:blip r:embed="rId8"/>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5.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。与原稿一致，低速计算可忽略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固定腿部关节姿态难以适应地面高度变化。本文保留原稿“由姿态误差增量调整腿长”的控制思路，以惯性测量单元（IMU）提供的滚转角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t>
      </w:r>
      <w:r>
        <w:rPr>
          <w:rFonts w:hint="eastAsia"/>
          <w:sz w:val="20"/>
          <w:szCs w:val="20"/>
        </w:rPr>
        <w:t>[4]。闭环控制结构如 Fig. 6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6"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6" descr="底盘姿态控制器闭环方框图"/>
                    <pic:cNvPicPr>
                      <a:picLocks noChangeAspect="1"/>
                    </pic:cNvPicPr>
                  </pic:nvPicPr>
                  <pic:blipFill>
                    <a:blip r:embed="rId9"/>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6.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t>
      </w:r>
      <w:r>
        <w:rPr>
          <w:rFonts w:hint="eastAsia"/>
          <w:sz w:val="20"/>
          <w:szCs w:val="20"/>
        </w:rPr>
        <w:t>[4]。给定末端目标位置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，按照报告的工具坐标约定，腕心沿工具负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7"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7" descr="机械臂侧视图上的关节坐标系定义"/>
                    <pic:cNvPicPr>
                      <a:picLocks noChangeAspect="1"/>
                    </pic:cNvPicPr>
                  </pic:nvPicPr>
                  <pic:blipFill>
                    <a:blip r:embed="rId10"/>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7.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。沿用报告的连杆参数与零位，</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为零位偏置。按报告的球腕坐标约定，在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8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8"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8" descr="Delta 平移机构与三轴姿态手柄的机构、转轴和平行约束示意"/>
                    <pic:cNvPicPr>
                      <a:picLocks noChangeAspect="1"/>
                    </pic:cNvPicPr>
                  </pic:nvPicPr>
                  <pic:blipFill>
                    <a:blip r:embed="rId11"/>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8.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9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879725" cy="7405370"/>
            <wp:effectExtent l="0" t="0" r="7620" b="8255"/>
            <wp:docPr id="30" name="Fig. 9"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9" descr="Delta 三支链及单支链几何模型，基座原点位于静平台中心"/>
                    <pic:cNvPicPr>
                      <a:picLocks noChangeAspect="1"/>
                    </pic:cNvPicPr>
                  </pic:nvPicPr>
                  <pic:blipFill>
                    <a:blip r:embed="rId12"/>
                    <a:stretch>
                      <a:fillRect/>
                    </a:stretch>
                  </pic:blipFill>
                  <pic:spPr>
                    <a:xfrm>
                      <a:off x="0" y="0"/>
                      <a:ext cx="2880000" cy="7405714"/>
                    </a:xfrm>
                    <a:prstGeom prst="rect">
                      <a:avLst/>
                    </a:prstGeom>
                  </pic:spPr>
                </pic:pic>
              </a:graphicData>
            </a:graphic>
          </wp:inline>
        </w:drawing>
      </w:r>
    </w:p>
    <w:p w14:paraId="6F109002">
      <w:pPr>
        <w:pStyle w:val="18"/>
        <w:numPr>
          <w:ilvl w:val="0"/>
          <w:numId w:val="0"/>
        </w:numPr>
        <w:snapToGrid w:val="0"/>
      </w:pPr>
      <w:r>
        <w:t>Fig. 9.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[5]）</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p>
    <w:bookmarkEnd w:id="17"/>
    <w:p w14:paraId="4E78815B">
      <w:pPr>
        <w:pStyle w:val="4"/>
        <w:numPr>
          <w:ilvl w:val="2"/>
          <w:numId w:val="0"/>
        </w:numPr>
        <w:snapToGrid w:val="0"/>
      </w:pPr>
      <w:bookmarkStart w:id="18"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e>
            <m:r>
              <m:rPr>
                <m:sty m:val="bi"/>
              </m:rPr>
              <w:rPr>
                <w:rFonts w:ascii="Cambria Math" w:hAnsi="Cambria Math" w:eastAsia="Cambria Math" w:cs="Cambria Math"/>
                <w:sz w:val="20"/>
                <w:szCs w:val="20"/>
              </w:rPr>
              <m:t xml:space="preserve">p</m:t>
            </m:r>
          </m:e>
          <m:sub>
            <m:r>
              <m:rPr>
                <m:sty m:val="p"/>
              </m:rPr>
              <w:rPr>
                <w:rFonts w:ascii="Cambria Math" w:hAnsi="Cambria Math" w:eastAsia="Cambria Math" w:cs="Cambria Math"/>
                <w:sz w:val="20"/>
                <w:szCs w:val="20"/>
              </w:rPr>
              <m:t xml:space="preserve">D</m:t>
            </m:r>
          </m:sub>
        </m:sSub>
        <m:r>
          <m:rPr>
            <m:sty m:val="p"/>
          </m:rPr>
          <w:rPr>
            <w:rFonts w:ascii="Cambria Math" w:hAnsi="Cambria Math" w:eastAsia="Cambria Math" w:cs="Cambria Math"/>
            <w:sz w:val="20"/>
            <w:szCs w:val="20"/>
          </w:rPr>
          <m:t xml:space="preserve">=</m:t>
        </m:r>
        <m:sSup>
          <m:e>
            <m:d>
              <m:dPr>
                <m:begChr m:val="["/>
                <m:endChr m:val="]"/>
              </m:dPr>
              <m:e>
                <m:sSub>
                  <m:e>
                    <m:r>
                      <m:rPr>
                        <m:sty m:val="i"/>
                      </m:rPr>
                      <w:rPr>
                        <w:rFonts w:ascii="Cambria Math" w:hAnsi="Cambria Math" w:eastAsia="Cambria Math" w:cs="Cambria Math"/>
                        <w:sz w:val="20"/>
                        <w:szCs w:val="20"/>
                      </w:rPr>
                      <m:t xml:space="preserve">x</m:t>
                    </m:r>
                  </m:e>
                  <m:sub>
                    <m:r>
                      <m:rPr>
                        <m:sty m:val="p"/>
                      </m:rPr>
                      <w:rPr>
                        <w:rFonts w:ascii="Cambria Math" w:hAnsi="Cambria Math" w:eastAsia="Cambria Math" w:cs="Cambria Math"/>
                        <w:sz w:val="20"/>
                        <w:szCs w:val="20"/>
                      </w:rPr>
                      <m:t xml:space="preserve">D</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y</m:t>
                    </m:r>
                  </m:e>
                  <m:sub>
                    <m:r>
                      <m:rPr>
                        <m:sty m:val="p"/>
                      </m:rPr>
                      <w:rPr>
                        <w:rFonts w:ascii="Cambria Math" w:hAnsi="Cambria Math" w:eastAsia="Cambria Math" w:cs="Cambria Math"/>
                        <w:sz w:val="20"/>
                        <w:szCs w:val="20"/>
                      </w:rPr>
                      <m:t xml:space="preserve">D</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z</m:t>
                    </m:r>
                  </m:e>
                  <m:sub>
                    <m:r>
                      <m:rPr>
                        <m:sty m:val="p"/>
                      </m:rPr>
                      <w:rPr>
                        <w:rFonts w:ascii="Cambria Math" w:hAnsi="Cambria Math" w:eastAsia="Cambria Math" w:cs="Cambria Math"/>
                        <w:sz w:val="20"/>
                        <w:szCs w:val="20"/>
                      </w:rPr>
                      <m:t xml:space="preserve">D</m:t>
                    </m:r>
                  </m:sub>
                </m:sSub>
              </m:e>
            </m:d>
          </m:e>
          <m:sup>
            <m:r>
              <m:rPr>
                <m:sty m:val="p"/>
              </m:rPr>
              <w:rPr>
                <w:rFonts w:ascii="Cambria Math" w:hAnsi="Cambria Math" w:eastAsia="Cambria Math" w:cs="Cambria Math"/>
                <w:sz w:val="20"/>
                <w:szCs w:val="20"/>
              </w:rPr>
              <m:t xml:space="preserve">T</m:t>
            </m:r>
          </m:sup>
        </m:sSup>
      </m:oMath>
      <w:r>
        <w:rPr>
          <w:rFonts w:hint="eastAsia"/>
          <w:sz w:val="20"/>
          <w:szCs w:val="20"/>
        </w:rPr>
        <w:t xml:space="preserve">，姿态输入记为滚转、俯仰、偏航角 </w:t>
      </w:r>
      <m:oMath>
        <m:d>
          <m:dPr>
            <m:begChr m:val="("/>
            <m:endChr m:val=")"/>
          </m:dPr>
          <m:e>
            <m:sSub>
              <m:e>
                <m:r>
                  <m:rPr>
                    <m:sty m:val="i"/>
                  </m:rPr>
                  <w:rPr>
                    <w:rFonts w:ascii="Cambria Math" w:hAnsi="Cambria Math" w:eastAsia="Cambria Math" w:cs="Cambria Math"/>
                    <w:sz w:val="20"/>
                    <w:szCs w:val="20"/>
                  </w:rPr>
                  <m:t xml:space="preserve">ϕ</m:t>
                </m:r>
              </m:e>
              <m:sub>
                <m:r>
                  <m:rPr>
                    <m:sty m:val="p"/>
                  </m:rPr>
                  <w:rPr>
                    <w:rFonts w:ascii="Cambria Math" w:hAnsi="Cambria Math" w:eastAsia="Cambria Math" w:cs="Cambria Math"/>
                    <w:sz w:val="20"/>
                    <w:szCs w:val="20"/>
                  </w:rPr>
                  <m:t xml:space="preserve">h</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θ</m:t>
                </m:r>
              </m:e>
              <m:sub>
                <m:r>
                  <m:rPr>
                    <m:sty m:val="p"/>
                  </m:rPr>
                  <w:rPr>
                    <w:rFonts w:ascii="Cambria Math" w:hAnsi="Cambria Math" w:eastAsia="Cambria Math" w:cs="Cambria Math"/>
                    <w:sz w:val="20"/>
                    <w:szCs w:val="20"/>
                  </w:rPr>
                  <m:t xml:space="preserve">h</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ψ</m:t>
                </m:r>
              </m:e>
              <m:sub>
                <m:r>
                  <m:rPr>
                    <m:sty m:val="p"/>
                  </m:rPr>
                  <w:rPr>
                    <w:rFonts w:ascii="Cambria Math" w:hAnsi="Cambria Math" w:eastAsia="Cambria Math" w:cs="Cambria Math"/>
                    <w:sz w:val="20"/>
                    <w:szCs w:val="20"/>
                  </w:rPr>
                  <m:t xml:space="preserve">h</m:t>
                </m:r>
              </m:sub>
            </m:sSub>
          </m:e>
        </m:d>
      </m:oMath>
      <w:r>
        <w:rPr>
          <w:rFonts w:hint="eastAsia"/>
          <w:sz w:val="20"/>
          <w:szCs w:val="20"/>
        </w:rPr>
        <w:t xml:space="preserve">，单位为 rad。姿态由三编码器手柄的串联正运动学及其相对 </w:t>
      </w:r>
      <w:r>
        <w:rPr>
          <w:rFonts w:hint="eastAsia"/>
          <w:sz w:val="20"/>
          <w:szCs w:val="20"/>
        </w:rPr>
        <w:t xml:space="preserve">{D}</w:t>
      </w:r>
      <w:r>
        <w:rPr>
          <w:rFonts w:hint="eastAsia"/>
          <w:sz w:val="20"/>
          <w:szCs w:val="20"/>
        </w:rPr>
        <w:t xml:space="preserve"> 的安装变换得到，三个编码器角 </w:t>
      </w:r>
      <m:oMath>
        <m:sSub>
          <m:e>
            <m:r>
              <m:rPr>
                <m:sty m:val="bi"/>
              </m:rPr>
              <w:rPr>
                <w:rFonts w:ascii="Cambria Math" w:hAnsi="Cambria Math" w:eastAsia="Cambria Math" w:cs="Cambria Math"/>
                <w:sz w:val="20"/>
                <w:szCs w:val="20"/>
              </w:rPr>
              <m:t xml:space="preserve">q</m:t>
            </m:r>
          </m:e>
          <m:sub>
            <m:r>
              <m:rPr>
                <m:sty m:val="p"/>
              </m:rPr>
              <w:rPr>
                <w:rFonts w:ascii="Cambria Math" w:hAnsi="Cambria Math" w:eastAsia="Cambria Math" w:cs="Cambria Math"/>
                <w:sz w:val="20"/>
                <w:szCs w:val="20"/>
              </w:rPr>
              <m:t xml:space="preserve">h</m:t>
            </m:r>
          </m:sub>
        </m:sSub>
      </m:oMath>
      <w:r>
        <w:rPr>
          <w:rFonts w:hint="eastAsia"/>
          <w:sz w:val="20"/>
          <w:szCs w:val="20"/>
        </w:rPr>
        <w:t xml:space="preserve"> 不直接等于 RPY。本文统一采用固定轴 X–Y–Z 约定，主端旋转矩阵及位姿输入的齐次矩阵为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z</m:t>
                        </m:r>
                      </m:sub>
                    </m:sSub>
                    <m:d>
                      <m:dPr>
                        <m:begChr m:val="("/>
                        <m:endChr m:val=")"/>
                      </m:dPr>
                      <m:e>
                        <m:sSub>
                          <m:e>
                            <m:r>
                              <m:rPr>
                                <m:sty m:val="i"/>
                              </m:rPr>
                              <w:rPr>
                                <w:rFonts w:ascii="Cambria Math" w:hAnsi="Cambria Math" w:eastAsia="Cambria Math" w:cs="Cambria Math"/>
                                <w:sz w:val="18"/>
                                <w:szCs w:val="18"/>
                              </w:rPr>
                              <m:t xml:space="preserve">ψ</m:t>
                            </m:r>
                          </m:e>
                          <m:sub>
                            <m:r>
                              <m:rPr>
                                <m:sty m:val="p"/>
                              </m:rPr>
                              <w:rPr>
                                <w:rFonts w:ascii="Cambria Math" w:hAnsi="Cambria Math" w:eastAsia="Cambria Math" w:cs="Cambria Math"/>
                                <w:sz w:val="18"/>
                                <w:szCs w:val="18"/>
                              </w:rPr>
                              <m:t xml:space="preserve">h</m:t>
                            </m:r>
                          </m:sub>
                        </m:sSub>
                      </m:e>
                    </m:d>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y</m:t>
                        </m:r>
                      </m:sub>
                    </m:sSub>
                    <m:d>
                      <m:dPr>
                        <m:begChr m:val="("/>
                        <m:endChr m:val=")"/>
                      </m:dPr>
                      <m:e>
                        <m:sSub>
                          <m:e>
                            <m:r>
                              <m:rPr>
                                <m:sty m:val="i"/>
                              </m:rPr>
                              <w:rPr>
                                <w:rFonts w:ascii="Cambria Math" w:hAnsi="Cambria Math" w:eastAsia="Cambria Math" w:cs="Cambria Math"/>
                                <w:sz w:val="18"/>
                                <w:szCs w:val="18"/>
                              </w:rPr>
                              <m:t xml:space="preserve">θ</m:t>
                            </m:r>
                          </m:e>
                          <m:sub>
                            <m:r>
                              <m:rPr>
                                <m:sty m:val="p"/>
                              </m:rPr>
                              <w:rPr>
                                <w:rFonts w:ascii="Cambria Math" w:hAnsi="Cambria Math" w:eastAsia="Cambria Math" w:cs="Cambria Math"/>
                                <w:sz w:val="18"/>
                                <w:szCs w:val="18"/>
                              </w:rPr>
                              <m:t xml:space="preserve">h</m:t>
                            </m:r>
                          </m:sub>
                        </m:sSub>
                      </m:e>
                    </m:d>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x</m:t>
                        </m:r>
                      </m:sub>
                    </m:sSub>
                    <m:d>
                      <m:dPr>
                        <m:begChr m:val="("/>
                        <m:endChr m:val=")"/>
                      </m:dPr>
                      <m:e>
                        <m:sSub>
                          <m:e>
                            <m:r>
                              <m:rPr>
                                <m:sty m:val="i"/>
                              </m:rPr>
                              <w:rPr>
                                <w:rFonts w:ascii="Cambria Math" w:hAnsi="Cambria Math" w:eastAsia="Cambria Math" w:cs="Cambria Math"/>
                                <w:sz w:val="18"/>
                                <w:szCs w:val="18"/>
                              </w:rPr>
                              <m:t xml:space="preserve">ϕ</m:t>
                            </m:r>
                          </m:e>
                          <m:sub>
                            <m:r>
                              <m:rPr>
                                <m:sty m:val="p"/>
                              </m:rPr>
                              <w:rPr>
                                <w:rFonts w:ascii="Cambria Math" w:hAnsi="Cambria Math" w:eastAsia="Cambria Math" w:cs="Cambria Math"/>
                                <w:sz w:val="18"/>
                                <w:szCs w:val="18"/>
                              </w:rPr>
                              <m:t xml:space="preserve">h</m:t>
                            </m:r>
                          </m:sub>
                        </m:sSub>
                      </m:e>
                    </m:d>
                    <m:r>
                      <m:rPr>
                        <m:sty m:val="p"/>
                      </m:rPr>
                      <w:rPr>
                        <w:rFonts w:ascii="Cambria Math" w:hAnsi="Cambria Math" w:eastAsia="Cambria Math" w:cs="Cambria Math"/>
                        <w:sz w:val="18"/>
                        <w:szCs w:val="18"/>
                      </w:rPr>
                      <m:t xml:space="preserve">,</m:t>
                    </m:r>
                  </m:e>
                  <m:e>
                    <m:sSub>
                      <m:e>
                        <m:r>
                          <m:rPr>
                            <m:sty m:val="b"/>
                          </m:rPr>
                          <w:rPr>
                            <w:rFonts w:ascii="Cambria Math" w:hAnsi="Cambria Math" w:eastAsia="Cambria Math" w:cs="Cambria Math"/>
                            <w:sz w:val="18"/>
                            <w:szCs w:val="18"/>
                          </w:rPr>
                          <m:t xml:space="preserve">T</m:t>
                        </m:r>
                      </m:e>
                      <m:sub>
                        <m:r>
                          <m:rPr>
                            <m:sty m:val="p"/>
                          </m:rPr>
                          <w:rPr>
                            <w:rFonts w:ascii="Cambria Math" w:hAnsi="Cambria Math" w:eastAsia="Cambria Math" w:cs="Cambria Math"/>
                            <w:sz w:val="18"/>
                            <w:szCs w:val="18"/>
                          </w:rPr>
                          <m:t xml:space="preserve">Dh</m:t>
                        </m:r>
                      </m:sub>
                    </m:sSub>
                    <m:r>
                      <m:rPr>
                        <m:sty m:val="p"/>
                      </m:rPr>
                      <w:rPr>
                        <w:rFonts w:ascii="Cambria Math" w:hAnsi="Cambria Math" w:eastAsia="Cambria Math" w:cs="Cambria Math"/>
                        <w:sz w:val="18"/>
                        <w:szCs w:val="18"/>
                      </w:rPr>
                      <m:t xml:space="preserve">=</m:t>
                    </m:r>
                    <m:d>
                      <m:dPr>
                        <m:begChr m:val="["/>
                        <m:endChr m:val="]"/>
                      </m:dPr>
                      <m:e>
                        <m:m>
                          <m:mPr>
                            <m:mcs>
                              <m:mc>
                                <m:mcPr>
                                  <m:count m:val="2"/>
                                  <m:mcJc m:val="center"/>
                                </m:mcPr>
                              </m:mc>
                            </m:mcs>
                          </m:mPr>
                          <m:mr>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m:t>
                                  </m:r>
                                </m:sub>
                              </m:sSub>
                            </m:e>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D</m:t>
                                  </m:r>
                                </m:sub>
                              </m:sSub>
                            </m:e>
                          </m:mr>
                          <m:mr>
                            <m:e>
                              <m:sSup>
                                <m:e>
                                  <m:r>
                                    <m:rPr>
                                      <m:sty m:val="bi"/>
                                    </m:rPr>
                                    <w:rPr>
                                      <w:rFonts w:ascii="Cambria Math" w:hAnsi="Cambria Math" w:eastAsia="Cambria Math" w:cs="Cambria Math"/>
                                      <w:sz w:val="18"/>
                                      <w:szCs w:val="18"/>
                                    </w:rPr>
                                    <m:t xml:space="preserve">0</m:t>
                                  </m:r>
                                </m:e>
                                <m:sup>
                                  <m:r>
                                    <m:rPr>
                                      <m:sty m:val="p"/>
                                    </m:rPr>
                                    <w:rPr>
                                      <w:rFonts w:ascii="Cambria Math" w:hAnsi="Cambria Math" w:eastAsia="Cambria Math" w:cs="Cambria Math"/>
                                      <w:sz w:val="18"/>
                                      <w:szCs w:val="18"/>
                                    </w:rPr>
                                    <m:t xml:space="preserve">T</m:t>
                                  </m:r>
                                </m:sup>
                              </m:sSup>
                            </m:e>
                            <m:e>
                              <m:r>
                                <m:rPr>
                                  <m:sty m:val="p"/>
                                </m:rPr>
                                <w:rPr>
                                  <w:rFonts w:ascii="Cambria Math" w:hAnsi="Cambria Math" w:eastAsia="Cambria Math" w:cs="Cambria Math"/>
                                  <w:sz w:val="18"/>
                                  <w:szCs w:val="18"/>
                                </w:rPr>
                                <m:t xml:space="preserve">1</m:t>
                              </m:r>
                            </m:e>
                          </m:mr>
                        </m:m>
                      </m:e>
                    </m:d>
                    <m:r>
                      <m:rPr>
                        <m:sty m:val="p"/>
                      </m:rPr>
                      <w:rPr>
                        <w:rFonts w:ascii="Cambria Math" w:hAnsi="Cambria Math" w:eastAsia="Cambria Math" w:cs="Cambria Math"/>
                        <w:sz w:val="18"/>
                        <w:szCs w:val="18"/>
                      </w:rPr>
                      <m:t xml:space="preserve">.</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 xml:space="preserve">其中，旋转矩阵将手柄姿态坐标系的分量变换至 </w:t>
      </w:r>
      <w:r>
        <w:rPr>
          <w:rFonts w:hint="eastAsia"/>
          <w:sz w:val="20"/>
          <w:szCs w:val="20"/>
        </w:rPr>
        <w:t xml:space="preserve">{D}</w:t>
      </w:r>
      <w:r>
        <w:rPr>
          <w:rFonts w:hint="eastAsia"/>
          <w:sz w:val="20"/>
          <w:szCs w:val="20"/>
        </w:rPr>
        <w:t xml:space="preserve">；该姿态坐标系的原点取位置输入点，即动平台中心。式（32）中的三个基本旋转矩阵分别表示绕相应坐标轴的右手正向旋转，乘积等价于固定轴先滚转、再俯仰、最后偏航。</w:t>
      </w:r>
    </w:p>
    <w:p w14:paraId="39B0740A">
      <w:pPr>
        <w:pStyle w:val="7"/>
        <w:numPr>
          <w:ilvl w:val="0"/>
          <w:numId w:val="0"/>
        </w:numPr>
        <w:snapToGrid w:val="0"/>
        <w:rPr>
          <w:sz w:val="20"/>
        </w:rPr>
      </w:pPr>
      <w:r>
        <w:rPr>
          <w:rFonts w:hint="eastAsia"/>
          <w:sz w:val="20"/>
          <w:szCs w:val="20"/>
        </w:rPr>
        <w:t xml:space="preserve">将从端机械臂基坐标系记为 </w:t>
      </w:r>
      <w:r>
        <w:rPr>
          <w:rFonts w:hint="eastAsia"/>
          <w:sz w:val="20"/>
          <w:szCs w:val="20"/>
        </w:rPr>
        <w:t xml:space="preserve">{A}</w:t>
      </w:r>
      <w:r>
        <w:rPr>
          <w:rFonts w:hint="eastAsia"/>
          <w:sz w:val="20"/>
          <w:szCs w:val="20"/>
        </w:rPr>
        <w:t xml:space="preserve">，与 III-C 节的坐标系 0 一致。初始化时记录主端位置零点 </w:t>
      </w:r>
      <m:oMath>
        <m:sSub>
          <m:e>
            <m:r>
              <m:rPr>
                <m:sty m:val="bi"/>
              </m:rPr>
              <w:rPr>
                <w:rFonts w:ascii="Cambria Math" w:hAnsi="Cambria Math" w:eastAsia="Cambria Math" w:cs="Cambria Math"/>
                <w:sz w:val="20"/>
                <w:szCs w:val="20"/>
              </w:rPr>
              <m:t xml:space="preserve">p</m:t>
            </m:r>
          </m:e>
          <m:sub>
            <m:r>
              <m:rPr>
                <m:sty m:val="p"/>
              </m:rPr>
              <w:rPr>
                <w:rFonts w:ascii="Cambria Math" w:hAnsi="Cambria Math" w:eastAsia="Cambria Math" w:cs="Cambria Math"/>
                <w:sz w:val="20"/>
                <w:szCs w:val="20"/>
              </w:rPr>
              <m:t xml:space="preserve">D,0</m:t>
            </m:r>
          </m:sub>
        </m:sSub>
      </m:oMath>
      <w:r>
        <w:rPr>
          <w:rFonts w:hint="eastAsia"/>
          <w:sz w:val="20"/>
          <w:szCs w:val="20"/>
        </w:rPr>
        <w:t xml:space="preserve"> 和从端参考位置 </w:t>
      </w:r>
      <m:oMath>
        <m:sSub>
          <m:e>
            <m:r>
              <m:rPr>
                <m:sty m:val="bi"/>
              </m:rPr>
              <w:rPr>
                <w:rFonts w:ascii="Cambria Math" w:hAnsi="Cambria Math" w:eastAsia="Cambria Math" w:cs="Cambria Math"/>
                <w:sz w:val="20"/>
                <w:szCs w:val="20"/>
              </w:rPr>
              <m:t xml:space="preserve">p</m:t>
            </m:r>
          </m:e>
          <m:sub>
            <m:r>
              <m:rPr>
                <m:sty m:val="p"/>
              </m:rPr>
              <w:rPr>
                <w:rFonts w:ascii="Cambria Math" w:hAnsi="Cambria Math" w:eastAsia="Cambria Math" w:cs="Cambria Math"/>
                <w:sz w:val="20"/>
                <w:szCs w:val="20"/>
              </w:rPr>
              <m:t xml:space="preserve">A,0</m:t>
            </m:r>
          </m:sub>
        </m:sSub>
      </m:oMath>
      <w:r>
        <w:rPr>
          <w:rFonts w:hint="eastAsia"/>
          <w:sz w:val="20"/>
          <w:szCs w:val="20"/>
        </w:rPr>
        <w:t xml:space="preserve">，由主端矩阵中的位置、姿态分块计算从端目标：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A,0</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K</m:t>
                        </m:r>
                      </m:e>
                      <m:sub>
                        <m:r>
                          <m:rPr>
                            <m:sty m:val="p"/>
                          </m:rPr>
                          <w:rPr>
                            <w:rFonts w:ascii="Cambria Math" w:hAnsi="Cambria Math" w:eastAsia="Cambria Math" w:cs="Cambria Math"/>
                            <w:sz w:val="18"/>
                            <w:szCs w:val="18"/>
                          </w:rPr>
                          <m:t xml:space="preserve">map</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d>
                      <m:dPr>
                        <m:begChr m:val="("/>
                        <m:endChr m:val=")"/>
                      </m:dPr>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D</m:t>
                            </m:r>
                          </m:sub>
                        </m:sSub>
                        <m:r>
                          <m:rPr>
                            <m:sty m:val="p"/>
                          </m:rPr>
                          <w:rPr>
                            <w:rFonts w:ascii="Cambria Math" w:hAnsi="Cambria Math" w:eastAsia="Cambria Math" w:cs="Cambria Math"/>
                            <w:sz w:val="18"/>
                            <w:szCs w:val="18"/>
                          </w:rPr>
                          <m:t xml:space="preserve">−</m:t>
                        </m:r>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D,0</m:t>
                            </m:r>
                          </m:sub>
                        </m:sSub>
                      </m:e>
                    </m:d>
                    <m:r>
                      <m:rPr>
                        <m:sty m:val="p"/>
                      </m:rPr>
                      <w:rPr>
                        <w:rFonts w:ascii="Cambria Math" w:hAnsi="Cambria Math" w:eastAsia="Cambria Math" w:cs="Cambria Math"/>
                        <w:sz w:val="18"/>
                        <w:szCs w:val="18"/>
                      </w:rPr>
                      <m:t xml:space="preserve">,</m:t>
                    </m:r>
                  </m:e>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h</m:t>
                        </m:r>
                      </m:sub>
                    </m:sSub>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tool</m:t>
                        </m:r>
                      </m:sub>
                    </m:sSub>
                    <m:r>
                      <m:rPr>
                        <m:sty m:val="p"/>
                      </m:rPr>
                      <w:rPr>
                        <w:rFonts w:ascii="Cambria Math" w:hAnsi="Cambria Math" w:eastAsia="Cambria Math" w:cs="Cambria Math"/>
                        <w:sz w:val="18"/>
                        <w:szCs w:val="18"/>
                      </w:rPr>
                      <m:t xml:space="preserve">.</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 xml:space="preserve">其中，</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AD</m:t>
            </m:r>
          </m:sub>
        </m:sSub>
      </m:oMath>
      <w:r>
        <w:rPr>
          <w:rFonts w:hint="eastAsia"/>
          <w:sz w:val="20"/>
          <w:szCs w:val="20"/>
        </w:rPr>
        <w:t xml:space="preserve"> 将 </w:t>
      </w:r>
      <w:r>
        <w:rPr>
          <w:rFonts w:hint="eastAsia"/>
          <w:sz w:val="20"/>
          <w:szCs w:val="20"/>
        </w:rPr>
        <w:t xml:space="preserve">{D}</w:t>
      </w:r>
      <w:r>
        <w:rPr>
          <w:rFonts w:hint="eastAsia"/>
          <w:sz w:val="20"/>
          <w:szCs w:val="20"/>
        </w:rPr>
        <w:t xml:space="preserve"> 中的分量旋转至 </w:t>
      </w:r>
      <w:r>
        <w:rPr>
          <w:rFonts w:hint="eastAsia"/>
          <w:sz w:val="20"/>
          <w:szCs w:val="20"/>
        </w:rPr>
        <w:t xml:space="preserve">{A}</w:t>
      </w:r>
      <w:r>
        <w:rPr>
          <w:rFonts w:hint="eastAsia"/>
          <w:sz w:val="20"/>
          <w:szCs w:val="20"/>
        </w:rPr>
        <w:t xml:space="preserve">；</w:t>
      </w:r>
      <m:oMath>
        <m:sSub>
          <m:e>
            <m:r>
              <m:rPr>
                <m:sty m:val="b"/>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map</m:t>
            </m:r>
          </m:sub>
        </m:sSub>
        <m:r>
          <m:rPr>
            <m:sty m:val="p"/>
          </m:rPr>
          <w:rPr>
            <w:rFonts w:ascii="Cambria Math" w:hAnsi="Cambria Math" w:eastAsia="Cambria Math" w:cs="Cambria Math"/>
            <w:sz w:val="20"/>
            <w:szCs w:val="20"/>
          </w:rPr>
          <m:t xml:space="preserve">=diag</m:t>
        </m:r>
        <m:d>
          <m:dPr>
            <m:begChr m:val="("/>
            <m:endChr m:val=")"/>
          </m:dPr>
          <m:e>
            <m:sSub>
              <m:e>
                <m:r>
                  <m:rPr>
                    <m:sty m:val="i"/>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x</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y</m:t>
                </m:r>
              </m:sub>
            </m:sSub>
            <m:r>
              <m:rPr>
                <m:sty m:val="p"/>
              </m:rPr>
              <w:rPr>
                <w:rFonts w:ascii="Cambria Math" w:hAnsi="Cambria Math" w:eastAsia="Cambria Math" w:cs="Cambria Math"/>
                <w:sz w:val="20"/>
                <w:szCs w:val="20"/>
              </w:rPr>
              <m:t xml:space="preserve">,</m:t>
            </m:r>
            <m:sSub>
              <m:e>
                <m:r>
                  <m:rPr>
                    <m:sty m:val="i"/>
                  </m:rPr>
                  <w:rPr>
                    <w:rFonts w:ascii="Cambria Math" w:hAnsi="Cambria Math" w:eastAsia="Cambria Math" w:cs="Cambria Math"/>
                    <w:sz w:val="20"/>
                    <w:szCs w:val="20"/>
                  </w:rPr>
                  <m:t xml:space="preserve">k</m:t>
                </m:r>
              </m:e>
              <m:sub>
                <m:r>
                  <m:rPr>
                    <m:sty m:val="p"/>
                  </m:rPr>
                  <w:rPr>
                    <w:rFonts w:ascii="Cambria Math" w:hAnsi="Cambria Math" w:eastAsia="Cambria Math" w:cs="Cambria Math"/>
                    <w:sz w:val="20"/>
                    <w:szCs w:val="20"/>
                  </w:rPr>
                  <m:t xml:space="preserve">z</m:t>
                </m:r>
              </m:sub>
            </m:sSub>
          </m:e>
        </m:d>
      </m:oMath>
      <w:r>
        <w:rPr>
          <w:rFonts w:hint="eastAsia"/>
          <w:sz w:val="20"/>
          <w:szCs w:val="20"/>
        </w:rPr>
        <w:t xml:space="preserve"> 为无量纲位置缩放矩阵，沿从端基坐标轴分别缩放；</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tool</m:t>
            </m:r>
          </m:sub>
        </m:sSub>
      </m:oMath>
      <w:r>
        <w:rPr>
          <w:rFonts w:hint="eastAsia"/>
          <w:sz w:val="20"/>
          <w:szCs w:val="20"/>
        </w:rPr>
        <w:t xml:space="preserve"> 为从端工具姿态相对手柄姿态的固定校准旋转。两项姿态校准均由安装关系确定。报告实现中先完成姿态校准，再转换为 RPY 发送，因此接收端按同一旋转顺序还原后即可得到 </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A,d</m:t>
            </m:r>
          </m:sub>
        </m:sSub>
      </m:oMath>
      <w:r>
        <w:rPr>
          <w:rFonts w:hint="eastAsia"/>
          <w:sz w:val="20"/>
          <w:szCs w:val="20"/>
        </w:rPr>
        <w:t xml:space="preserve">，不再重复施加校准。</w:t>
      </w:r>
    </w:p>
    <w:p w14:paraId="4BCDE9C3">
      <w:pPr>
        <w:pStyle w:val="7"/>
        <w:numPr>
          <w:ilvl w:val="0"/>
          <w:numId w:val="0"/>
        </w:numPr>
        <w:snapToGrid w:val="0"/>
        <w:rPr>
          <w:sz w:val="20"/>
        </w:rPr>
      </w:pPr>
      <w:r>
        <w:rPr>
          <w:rFonts w:hint="eastAsia"/>
          <w:sz w:val="20"/>
          <w:szCs w:val="20"/>
        </w:rPr>
        <w:t xml:space="preserve">将式（33）的目标位置和姿态重新组合，得到从端末端相对机械臂基座的目标齐次变换矩阵：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e>
                    <m:r>
                      <m:rPr>
                        <m:sty m:val="b"/>
                      </m:rPr>
                      <w:rPr>
                        <w:rFonts w:ascii="Cambria Math" w:hAnsi="Cambria Math" w:eastAsia="Cambria Math" w:cs="Cambria Math"/>
                        <w:sz w:val="18"/>
                        <w:szCs w:val="18"/>
                      </w:rPr>
                      <m:t xml:space="preserve">T</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d>
                  <m:dPr>
                    <m:begChr m:val="["/>
                    <m:endChr m:val="]"/>
                  </m:dPr>
                  <m:e>
                    <m:m>
                      <m:mPr>
                        <m:mcs>
                          <m:mc>
                            <m:mcPr>
                              <m:count m:val="2"/>
                              <m:mcJc m:val="center"/>
                            </m:mcPr>
                          </m:mc>
                        </m:mcs>
                      </m:mPr>
                      <m:mr>
                        <m:e>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e>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A,d</m:t>
                              </m:r>
                            </m:sub>
                          </m:sSub>
                        </m:e>
                      </m:mr>
                      <m:mr>
                        <m:e>
                          <m:sSup>
                            <m:e>
                              <m:r>
                                <m:rPr>
                                  <m:sty m:val="bi"/>
                                </m:rPr>
                                <w:rPr>
                                  <w:rFonts w:ascii="Cambria Math" w:hAnsi="Cambria Math" w:eastAsia="Cambria Math" w:cs="Cambria Math"/>
                                  <w:sz w:val="18"/>
                                  <w:szCs w:val="18"/>
                                </w:rPr>
                                <m:t xml:space="preserve">0</m:t>
                              </m:r>
                            </m:e>
                            <m:sup>
                              <m:r>
                                <m:rPr>
                                  <m:sty m:val="p"/>
                                </m:rPr>
                                <w:rPr>
                                  <w:rFonts w:ascii="Cambria Math" w:hAnsi="Cambria Math" w:eastAsia="Cambria Math" w:cs="Cambria Math"/>
                                  <w:sz w:val="18"/>
                                  <w:szCs w:val="18"/>
                                </w:rPr>
                                <m:t xml:space="preserve">T</m:t>
                              </m:r>
                            </m:sup>
                          </m:sSup>
                        </m:e>
                        <m:e>
                          <m:r>
                            <m:rPr>
                              <m:sty m:val="p"/>
                            </m:rPr>
                            <w:rPr>
                              <w:rFonts w:ascii="Cambria Math" w:hAnsi="Cambria Math" w:eastAsia="Cambria Math" w:cs="Cambria Math"/>
                              <w:sz w:val="18"/>
                              <w:szCs w:val="18"/>
                            </w:rPr>
                            <m:t xml:space="preserve">1</m:t>
                          </m:r>
                        </m:e>
                      </m:mr>
                    </m:m>
                  </m:e>
                </m:d>
                <m:r>
                  <m:rPr>
                    <m:sty m:val="p"/>
                  </m:rPr>
                  <w:rPr>
                    <w:rFonts w:ascii="Cambria Math" w:hAnsi="Cambria Math" w:eastAsia="Cambria Math" w:cs="Cambria Math"/>
                    <w:sz w:val="18"/>
                    <w:szCs w:val="18"/>
                  </w:rPr>
                  <m:t xml:space="preserve">.</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 xml:space="preserve">该矩阵的旋转块与平移列分别对应 III-C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06</m:t>
                        </m:r>
                      </m:sub>
                    </m:sSub>
                    <m:r>
                      <m:rPr>
                        <m:sty m:val="p"/>
                      </m:rPr>
                      <w:rPr>
                        <w:rFonts w:ascii="Cambria Math" w:hAnsi="Cambria Math" w:eastAsia="Cambria Math" w:cs="Cambria Math"/>
                        <w:sz w:val="18"/>
                        <w:szCs w:val="18"/>
                      </w:rPr>
                      <m:t xml:space="preserve">=</m:t>
                    </m:r>
                    <m:sSub>
                      <m:e>
                        <m:r>
                          <m:rPr>
                            <m:sty m:val="bi"/>
                          </m:rPr>
                          <w:rPr>
                            <w:rFonts w:ascii="Cambria Math" w:hAnsi="Cambria Math" w:eastAsia="Cambria Math" w:cs="Cambria Math"/>
                            <w:sz w:val="18"/>
                            <w:szCs w:val="18"/>
                          </w:rPr>
                          <m:t xml:space="preserve">p</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, </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06</m:t>
                        </m:r>
                      </m:sub>
                    </m:sSub>
                    <m:r>
                      <m:rPr>
                        <m:sty m:val="p"/>
                      </m:rPr>
                      <w:rPr>
                        <w:rFonts w:ascii="Cambria Math" w:hAnsi="Cambria Math" w:eastAsia="Cambria Math" w:cs="Cambria Math"/>
                        <w:sz w:val="18"/>
                        <w:szCs w:val="18"/>
                      </w:rPr>
                      <m:t xml:space="preserve">=</m:t>
                    </m:r>
                    <m:sSub>
                      <m:e>
                        <m:r>
                          <m:rPr>
                            <m:sty m:val="b"/>
                          </m:rPr>
                          <w:rPr>
                            <w:rFonts w:ascii="Cambria Math" w:hAnsi="Cambria Math" w:eastAsia="Cambria Math" w:cs="Cambria Math"/>
                            <w:sz w:val="18"/>
                            <w:szCs w:val="18"/>
                          </w:rPr>
                          <m:t xml:space="preserve">R</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m:t>
                    </m:r>
                  </m:e>
                  <m:e>
                    <m:sSub>
                      <m:e>
                        <m:r>
                          <m:rPr>
                            <m:sty m:val="bi"/>
                          </m:rPr>
                          <w:rPr>
                            <w:rFonts w:ascii="Cambria Math" w:hAnsi="Cambria Math" w:eastAsia="Cambria Math" w:cs="Cambria Math"/>
                            <w:sz w:val="18"/>
                            <w:szCs w:val="18"/>
                          </w:rPr>
                          <m:t xml:space="preserve">q</m:t>
                        </m:r>
                      </m:e>
                      <m:sub>
                        <m:r>
                          <m:rPr>
                            <m:sty m:val="p"/>
                          </m:rPr>
                          <w:rPr>
                            <w:rFonts w:ascii="Cambria Math" w:hAnsi="Cambria Math" w:eastAsia="Cambria Math" w:cs="Cambria Math"/>
                            <w:sz w:val="18"/>
                            <w:szCs w:val="18"/>
                          </w:rPr>
                          <m:t xml:space="preserve">a,d</m:t>
                        </m:r>
                      </m:sub>
                    </m:sSub>
                    <m:r>
                      <m:rPr>
                        <m:sty m:val="p"/>
                      </m:rPr>
                      <w:rPr>
                        <w:rFonts w:ascii="Cambria Math" w:hAnsi="Cambria Math" w:eastAsia="Cambria Math" w:cs="Cambria Math"/>
                        <w:sz w:val="18"/>
                        <w:szCs w:val="18"/>
                      </w:rPr>
                      <m:t xml:space="preserve">=IK</m:t>
                    </m:r>
                    <m:d>
                      <m:dPr>
                        <m:begChr m:val="("/>
                        <m:endChr m:val=")"/>
                      </m:dPr>
                      <m:e>
                        <m:sSub>
                          <m:e>
                            <m:r>
                              <m:rPr>
                                <m:sty m:val="b"/>
                              </m:rPr>
                              <w:rPr>
                                <w:rFonts w:ascii="Cambria Math" w:hAnsi="Cambria Math" w:eastAsia="Cambria Math" w:cs="Cambria Math"/>
                                <w:sz w:val="18"/>
                                <w:szCs w:val="18"/>
                              </w:rPr>
                              <m:t xml:space="preserve">T</m:t>
                            </m:r>
                          </m:e>
                          <m:sub>
                            <m:r>
                              <m:rPr>
                                <m:sty m:val="p"/>
                              </m:rPr>
                              <w:rPr>
                                <w:rFonts w:ascii="Cambria Math" w:hAnsi="Cambria Math" w:eastAsia="Cambria Math" w:cs="Cambria Math"/>
                                <w:sz w:val="18"/>
                                <w:szCs w:val="18"/>
                              </w:rPr>
                              <m:t xml:space="preserve">A,d</m:t>
                            </m:r>
                          </m:sub>
                        </m:sSub>
                      </m:e>
                    </m:d>
                    <m:r>
                      <m:rPr>
                        <m:sty m:val="p"/>
                      </m:rPr>
                      <w:rPr>
                        <w:rFonts w:ascii="Cambria Math" w:hAnsi="Cambria Math" w:eastAsia="Cambria Math" w:cs="Cambria Math"/>
                        <w:sz w:val="18"/>
                        <w:szCs w:val="18"/>
                      </w:rPr>
                      <m:t xml:space="preserve">.</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e>
            <m:r>
              <m:rPr>
                <m:sty m:val="b"/>
              </m:rPr>
              <w:rPr>
                <w:rFonts w:ascii="Cambria Math" w:hAnsi="Cambria Math" w:eastAsia="Cambria Math" w:cs="Cambria Math"/>
                <w:sz w:val="20"/>
                <w:szCs w:val="20"/>
              </w:rPr>
              <m:t xml:space="preserve">R</m:t>
            </m:r>
          </m:e>
          <m:sub>
            <m:r>
              <m:rPr>
                <m:sty m:val="p"/>
              </m:rPr>
              <w:rPr>
                <w:rFonts w:ascii="Cambria Math" w:hAnsi="Cambria Math" w:eastAsia="Cambria Math" w:cs="Cambria Math"/>
                <w:sz w:val="20"/>
                <w:szCs w:val="20"/>
              </w:rPr>
              <m:t xml:space="preserve">36</m:t>
            </m:r>
          </m:sub>
        </m:sSub>
      </m:oMath>
      <w:r>
        <w:rPr>
          <w:rFonts w:hint="eastAsia"/>
          <w:sz w:val="20"/>
          <w:szCs w:val="20"/>
        </w:rPr>
        <w:t xml:space="preserve">，由式（23）及零位偏置得到后三个关节角。保留满足关节限位且与上一时刻最接近的可行解，作为六轴关节指令 </w:t>
      </w:r>
      <m:oMath>
        <m:sSub>
          <m:e>
            <m:r>
              <m:rPr>
                <m:sty m:val="bi"/>
              </m:rPr>
              <w:rPr>
                <w:rFonts w:ascii="Cambria Math" w:hAnsi="Cambria Math" w:eastAsia="Cambria Math" w:cs="Cambria Math"/>
                <w:sz w:val="20"/>
                <w:szCs w:val="20"/>
              </w:rPr>
              <m:t xml:space="preserve">q</m:t>
            </m:r>
          </m:e>
          <m:sub>
            <m:r>
              <m:rPr>
                <m:sty m:val="p"/>
              </m:rPr>
              <w:rPr>
                <w:rFonts w:ascii="Cambria Math" w:hAnsi="Cambria Math" w:eastAsia="Cambria Math" w:cs="Cambria Math"/>
                <w:sz w:val="20"/>
                <w:szCs w:val="20"/>
              </w:rPr>
              <m:t xml:space="preserve">a,d</m:t>
            </m:r>
          </m:sub>
        </m:sSub>
      </m:oMath>
      <w:r>
        <w:rPr>
          <w:rFonts w:hint="eastAsia"/>
          <w:sz w:val="20"/>
          <w:szCs w:val="20"/>
        </w:rPr>
        <w:t xml:space="preserve">。目标不可达或位于奇异位形时，不直接输出该逆解；重置位置零点时同步更新从端参考位置，以保持目标连续。</w:t>
      </w:r>
    </w:p>
    <w:bookmarkEnd w:id="6"/>
    <w:bookmarkEnd w:id="15"/>
    <w:bookmarkEnd w:id="18"/>
    <w:p w14:paraId="7807EF6D">
      <w:pPr>
        <w:pStyle w:val="2"/>
        <w:numPr>
          <w:ilvl w:val="0"/>
          <w:numId w:val="0"/>
        </w:numPr>
        <w:snapToGrid w:val="0"/>
      </w:pPr>
      <w:bookmarkStart w:id="19" w:name="iv.-实验与结果experiments-and-results"/>
      <w:r>
        <w:t xml:space="preserve">IV. </w:t>
      </w:r>
      <w:r>
        <w:rPr>
          <w:rFonts w:hint="eastAsia"/>
        </w:rPr>
        <w:t>实验与结果（Experiments</w:t>
      </w:r>
      <w:r>
        <w:t xml:space="preserve"> and </w:t>
      </w:r>
      <w:r>
        <w:rPr>
          <w:rFonts w:hint="eastAsia"/>
        </w:rPr>
        <w:t>Results）</w:t>
      </w:r>
    </w:p>
    <w:p w14:paraId="0A9B66BF">
      <w:pPr>
        <w:pStyle w:val="3"/>
        <w:numPr>
          <w:ilvl w:val="1"/>
          <w:numId w:val="0"/>
        </w:numPr>
        <w:snapToGrid w:val="0"/>
      </w:pPr>
      <w:bookmarkStart w:id="20" w:name="a.-数据来源与评估指标"/>
      <w:r>
        <w:t xml:space="preserve">A. </w:t>
      </w:r>
      <w:r>
        <w:rPr>
          <w:rFonts w:hint="eastAsia"/>
        </w:rPr>
        <w:t>数据来源与评估指标</w:t>
      </w:r>
    </w:p>
    <w:p w14:paraId="04B12095">
      <w:pPr>
        <w:pStyle w:val="7"/>
        <w:numPr>
          <w:ilvl w:val="0"/>
          <w:numId w:val="0"/>
        </w:numPr>
        <w:snapToGrid w:val="0"/>
        <w:rPr>
          <w:sz w:val="20"/>
        </w:rPr>
      </w:pPr>
      <w:r>
        <w:rPr>
          <w:rFonts w:hint="eastAsia"/>
          <w:sz w:val="20"/>
          <w:szCs w:val="20"/>
        </w:rPr>
        <w:t>本文实验资料来自技术报告</w:t>
      </w:r>
      <w:r>
        <w:rPr>
          <w:sz w:val="20"/>
          <w:szCs w:val="20"/>
        </w:rPr>
        <w:t xml:space="preserve"> [4] </w:t>
      </w:r>
      <w:r>
        <w:rPr>
          <w:rFonts w:hint="eastAsia"/>
          <w:sz w:val="20"/>
          <w:szCs w:val="20"/>
        </w:rPr>
        <w:t>的控制曲线、功能演示和版本迭代记录，结构参数由</w:t>
      </w:r>
      <w:r>
        <w:rPr>
          <w:sz w:val="20"/>
          <w:szCs w:val="20"/>
        </w:rPr>
        <w:t xml:space="preserve"> [5] </w:t>
      </w:r>
      <w:r>
        <w:rPr>
          <w:rFonts w:hint="eastAsia"/>
          <w:sz w:val="20"/>
          <w:szCs w:val="20"/>
        </w:rPr>
        <w:t>补充。现有材料未包含可下载的逐时刻原始日志、统一误差带定义或重复试验统计，因此本节区分报告给出的数值、功能性观察和待测指标，不构造虚拟数据集。</w:t>
      </w:r>
    </w:p>
    <w:p w14:paraId="469AFE0A">
      <w:pPr>
        <w:pStyle w:val="7"/>
        <w:numPr>
          <w:ilvl w:val="0"/>
          <w:numId w:val="0"/>
        </w:numPr>
        <w:snapToGrid w:val="0"/>
        <w:rPr>
          <w:sz w:val="20"/>
        </w:rPr>
      </w:pPr>
      <w:r>
        <w:rPr>
          <w:rFonts w:hint="eastAsia"/>
          <w:sz w:val="20"/>
          <w:szCs w:val="20"/>
        </w:rPr>
        <w:t>后续定量评估宜同步记录主端指令、从端位姿、关节反馈、IMU、电池电压和电流。位置均方根误差、姿态误差和电能可分别定义为</w:t>
      </w:r>
    </w:p>
    <w:tbl>
      <w:tblPr>
        <w:tblStyle w:val="10"/>
        <w:tblW w:w="4866" w:type="dxa"/>
        <w:tblCaption w:val="Equation 3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46F4ED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6610F38">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p</m:t>
                        </m:r>
                      </m:sub>
                    </m:sSub>
                    <m:r>
                      <m:rPr>
                        <m:sty m:val="p"/>
                      </m:rPr>
                      <w:rPr>
                        <w:rFonts w:ascii="Cambria Math" w:hAnsi="Cambria Math" w:eastAsia="Cambria Math" w:cs="Cambria Math"/>
                        <w:sz w:val="18"/>
                        <w:szCs w:val="18"/>
                      </w:rPr>
                      <m:t>=</m:t>
                    </m:r>
                    <m:rad>
                      <m:radPr>
                        <m:degHide m:val="1"/>
                      </m:radPr>
                      <m:deg/>
                      <m:e>
                        <m:f>
                          <m:fPr/>
                          <m:num>
                            <m:r>
                              <m:rPr/>
                              <w:rPr>
                                <w:rFonts w:ascii="Cambria Math" w:hAnsi="Cambria Math" w:eastAsia="Cambria Math" w:cs="Cambria Math"/>
                                <w:sz w:val="18"/>
                                <w:szCs w:val="18"/>
                              </w:rPr>
                              <m:t>1</m:t>
                            </m:r>
                          </m:num>
                          <m:den>
                            <m:r>
                              <m:rPr/>
                              <w:rPr>
                                <w:rFonts w:ascii="Cambria Math" w:hAnsi="Cambria Math" w:eastAsia="Cambria Math" w:cs="Cambria Math"/>
                                <w:sz w:val="18"/>
                                <w:szCs w:val="18"/>
                              </w:rPr>
                              <m:t>N</m:t>
                            </m:r>
                          </m:den>
                        </m:f>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m:sty m:val="p"/>
                              </m:rPr>
                              <w:rPr>
                                <w:rFonts w:ascii="Cambria Math" w:hAnsi="Cambria Math" w:eastAsia="Cambria Math" w:cs="Cambria Math"/>
                                <w:sz w:val="18"/>
                                <w:szCs w:val="18"/>
                              </w:rPr>
                              <m:t>∥</m:t>
                            </m:r>
                          </m:e>
                        </m:nary>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p</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R</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]=arccos</m:t>
                    </m:r>
                    <m:f>
                      <m:fPr/>
                      <m:num>
                        <m:r>
                          <m:rPr>
                            <m:sty m:val="p"/>
                          </m:rPr>
                          <w:rPr>
                            <w:rFonts w:ascii="Cambria Math" w:hAnsi="Cambria Math" w:eastAsia="Cambria Math" w:cs="Cambria Math"/>
                            <w:sz w:val="18"/>
                            <w:szCs w:val="18"/>
                          </w:rPr>
                          <m:t>tr(</m:t>
                        </m:r>
                        <m:sSubSup>
                          <m:sSubSup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R</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bat</m:t>
                        </m:r>
                      </m:sub>
                    </m:sSub>
                    <m:r>
                      <m:rPr>
                        <m:sty m:val="p"/>
                      </m:rPr>
                      <w:rPr>
                        <w:rFonts w:ascii="Cambria Math" w:hAnsi="Cambria Math" w:eastAsia="Cambria Math" w:cs="Cambria Math"/>
                        <w:sz w:val="18"/>
                        <w:szCs w:val="18"/>
                      </w:rPr>
                      <m:t>=</m:t>
                    </m:r>
                    <m:nary>
                      <m:naryPr>
                        <m:chr m:val="∑"/>
                        <m:limLoc m:val="undOvr"/>
                      </m:naryPr>
                      <m:sub>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b>
                      <m:sup>
                        <m:r>
                          <m:rPr/>
                          <w:rPr>
                            <w:rFonts w:ascii="Cambria Math" w:hAnsi="Cambria Math" w:eastAsia="Cambria Math" w:cs="Cambria Math"/>
                            <w:sz w:val="18"/>
                            <w:szCs w:val="18"/>
                          </w:rPr>
                          <m:t>N</m:t>
                        </m:r>
                      </m:sup>
                      <m:e>
                        <m:r>
                          <m:rPr/>
                          <w:rPr>
                            <w:rFonts w:ascii="Cambria Math" w:hAnsi="Cambria Math" w:eastAsia="Cambria Math" w:cs="Cambria Math"/>
                            <w:sz w:val="18"/>
                            <w:szCs w:val="18"/>
                          </w:rPr>
                          <m:t>U</m:t>
                        </m:r>
                      </m:e>
                    </m:nary>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s</m:t>
                        </m:r>
                      </m:sub>
                    </m:sSub>
                    <m:r>
                      <m:rPr>
                        <m:sty m:val="p"/>
                      </m:rPr>
                      <w:rPr>
                        <w:rFonts w:ascii="Cambria Math" w:hAnsi="Cambria Math" w:eastAsia="Cambria Math" w:cs="Cambria Math"/>
                        <w:sz w:val="18"/>
                        <w:szCs w:val="18"/>
                      </w:rPr>
                      <m:t>.</m:t>
                    </m:r>
                  </m:e>
                </m:eqArr>
              </m:oMath>
            </m:oMathPara>
          </w:p>
        </w:tc>
        <w:tc>
          <w:tcPr>
            <w:tcW w:w="390" w:type="dxa"/>
            <w:vAlign w:val="center"/>
          </w:tcPr>
          <w:p w14:paraId="1CFA7FDD">
            <w:pPr>
              <w:numPr>
                <w:ilvl w:val="0"/>
                <w:numId w:val="0"/>
              </w:numPr>
              <w:snapToGrid w:val="0"/>
              <w:jc w:val="right"/>
              <w:rPr>
                <w:sz w:val="16"/>
              </w:rPr>
            </w:pPr>
            <w:r>
              <w:rPr>
                <w:sz w:val="16"/>
                <w:szCs w:val="16"/>
              </w:rPr>
              <w:t>(36)</w:t>
            </w:r>
          </w:p>
        </w:tc>
      </w:tr>
    </w:tbl>
    <w:p w14:paraId="2BE1AFCC">
      <w:pPr>
        <w:pStyle w:val="7"/>
        <w:numPr>
          <w:ilvl w:val="0"/>
          <w:numId w:val="0"/>
        </w:numPr>
        <w:snapToGrid w:val="0"/>
        <w:rPr>
          <w:sz w:val="20"/>
        </w:rPr>
      </w:pPr>
      <w:r>
        <w:rPr>
          <w:rFonts w:hint="eastAsia"/>
          <w:sz w:val="20"/>
          <w:szCs w:val="20"/>
        </w:rPr>
        <w:t>其中</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为样本数，</w:t>
      </w:r>
      <m:oMath>
        <m:sSub>
          <m:sSubPr/>
          <m:e>
            <m:r>
              <m:rPr/>
              <w:rPr>
                <w:rFonts w:ascii="Cambria Math" w:hAnsi="Cambria Math" w:eastAsia="Cambria Math" w:cs="Cambria Math"/>
                <w:sz w:val="20"/>
                <w:szCs w:val="20"/>
              </w:rPr>
              <m:t>T</m:t>
            </m:r>
          </m:e>
          <m:sub>
            <m:r>
              <m:rPr>
                <m:sty m:val="p"/>
              </m:rPr>
              <w:rPr>
                <w:rFonts w:ascii="Cambria Math" w:hAnsi="Cambria Math" w:eastAsia="Cambria Math" w:cs="Cambria Math"/>
                <w:sz w:val="20"/>
                <w:szCs w:val="20"/>
              </w:rPr>
              <m:t>s</m:t>
            </m:r>
          </m:sub>
        </m:sSub>
      </m:oMath>
      <w:r>
        <w:rPr>
          <w:rFonts w:hint="eastAsia"/>
          <w:sz w:val="20"/>
          <w:szCs w:val="20"/>
        </w:rPr>
        <w:t xml:space="preserve"> 为采样周期（s），</w:t>
      </w:r>
      <m:oMath>
        <m:r>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oMath>
      <w:r>
        <w:rPr>
          <w:sz w:val="20"/>
          <w:szCs w:val="20"/>
        </w:rPr>
        <w:t xml:space="preserve"> </w:t>
      </w:r>
      <w:r>
        <w:rPr>
          <w:rFonts w:hint="eastAsia"/>
          <w:sz w:val="20"/>
          <w:szCs w:val="20"/>
        </w:rPr>
        <w:t>为电池端电压和电流；姿态式中的反余弦输入须防止舍入越界。对于同一路线，可报告平均功率及单位行程耗能</w:t>
      </w:r>
      <w:r>
        <w:rPr>
          <w:sz w:val="20"/>
          <w:szCs w:val="20"/>
        </w:rPr>
        <w:t xml:space="preserve"> </w:t>
      </w:r>
      <m:oMath>
        <m:sSub>
          <m:sSubPr/>
          <m:e>
            <m:r>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bat</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D</m:t>
        </m:r>
      </m:oMath>
      <w:r>
        <w:rPr>
          <w:rFonts w:hint="eastAsia"/>
          <w:sz w:val="20"/>
          <w:szCs w:val="20"/>
        </w:rPr>
        <w:t>，</w:t>
      </w:r>
      <m:oMath>
        <m:r>
          <m:rPr/>
          <w:rPr>
            <w:rFonts w:ascii="Cambria Math" w:hAnsi="Cambria Math" w:eastAsia="Cambria Math" w:cs="Cambria Math"/>
            <w:sz w:val="20"/>
            <w:szCs w:val="20"/>
          </w:rPr>
          <m:t>D</m:t>
        </m:r>
      </m:oMath>
      <w:r>
        <w:rPr>
          <w:sz w:val="20"/>
          <w:szCs w:val="20"/>
        </w:rPr>
        <w:t xml:space="preserve"> </w:t>
      </w:r>
      <w:r>
        <w:rPr>
          <w:rFonts w:hint="eastAsia"/>
          <w:sz w:val="20"/>
          <w:szCs w:val="20"/>
        </w:rPr>
        <w:t>为行程。阶跃响应应统一稳定时间误差带，越障任务应给出成功次数、总试验次数和障碍几何。以上定义是补测方案，当前不赋予未测数值。</w:t>
      </w:r>
    </w:p>
    <w:bookmarkEnd w:id="20"/>
    <w:p w14:paraId="759E9767">
      <w:pPr>
        <w:pStyle w:val="3"/>
        <w:numPr>
          <w:ilvl w:val="1"/>
          <w:numId w:val="0"/>
        </w:numPr>
        <w:snapToGrid w:val="0"/>
      </w:pPr>
      <w:bookmarkStart w:id="21" w:name="b.-实验设置"/>
      <w:r>
        <w:t xml:space="preserve">B. </w:t>
      </w:r>
      <w:r>
        <w:rPr>
          <w:rFonts w:hint="eastAsia"/>
        </w:rPr>
        <w:t>实验设置</w:t>
      </w:r>
    </w:p>
    <w:p w14:paraId="60B405E9">
      <w:pPr>
        <w:pStyle w:val="7"/>
        <w:numPr>
          <w:ilvl w:val="0"/>
          <w:numId w:val="0"/>
        </w:numPr>
        <w:snapToGrid w:val="0"/>
        <w:rPr>
          <w:sz w:val="20"/>
        </w:rPr>
      </w:pPr>
      <w:r>
        <w:rPr>
          <w:sz w:val="20"/>
          <w:szCs w:val="20"/>
        </w:rPr>
        <w:t xml:space="preserve">TABLE III </w:t>
      </w:r>
      <w:r>
        <w:rPr>
          <w:rFonts w:hint="eastAsia"/>
          <w:sz w:val="20"/>
          <w:szCs w:val="20"/>
        </w:rPr>
        <w:t>汇总报告中的硬件与开发条件。</w:t>
      </w:r>
    </w:p>
    <w:p w14:paraId="7F086EBB">
      <w:pPr>
        <w:pStyle w:val="28"/>
        <w:keepNext/>
        <w:numPr>
          <w:ilvl w:val="0"/>
          <w:numId w:val="0"/>
        </w:numPr>
        <w:snapToGrid w:val="0"/>
      </w:pPr>
      <w:r>
        <w:rPr>
          <w:bCs/>
        </w:rPr>
        <w:t xml:space="preserve">TABLE III. </w:t>
      </w:r>
      <w:r>
        <w:rPr>
          <w:rFonts w:hint="eastAsia"/>
          <w:bCs/>
        </w:rPr>
        <w:t>技术报告记载的硬件与开发条件</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31B00C86">
        <w:tblPrEx>
          <w:tblCellMar>
            <w:top w:w="0" w:type="dxa"/>
            <w:left w:w="108" w:type="dxa"/>
            <w:bottom w:w="0" w:type="dxa"/>
            <w:right w:w="108" w:type="dxa"/>
          </w:tblCellMar>
        </w:tblPrEx>
        <w:trPr>
          <w:cantSplit/>
          <w:tblHeader/>
        </w:trPr>
        <w:tc>
          <w:tcPr>
            <w:tcW w:w="1622" w:type="dxa"/>
          </w:tcPr>
          <w:p w14:paraId="0F97E9AF">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601C6D42">
            <w:pPr>
              <w:pStyle w:val="24"/>
              <w:keepNext/>
              <w:numPr>
                <w:ilvl w:val="0"/>
                <w:numId w:val="0"/>
              </w:numPr>
              <w:snapToGrid w:val="0"/>
              <w:spacing w:before="0" w:after="0" w:line="240" w:lineRule="auto"/>
              <w:rPr>
                <w:sz w:val="16"/>
              </w:rPr>
            </w:pPr>
            <w:r>
              <w:rPr>
                <w:rFonts w:hint="eastAsia"/>
                <w:sz w:val="16"/>
                <w:szCs w:val="16"/>
              </w:rPr>
              <w:t>报告记录</w:t>
            </w:r>
          </w:p>
        </w:tc>
        <w:tc>
          <w:tcPr>
            <w:tcW w:w="1622" w:type="dxa"/>
          </w:tcPr>
          <w:p w14:paraId="6F002F06">
            <w:pPr>
              <w:pStyle w:val="24"/>
              <w:keepNext/>
              <w:numPr>
                <w:ilvl w:val="0"/>
                <w:numId w:val="0"/>
              </w:numPr>
              <w:snapToGrid w:val="0"/>
              <w:spacing w:before="0" w:after="0" w:line="240" w:lineRule="auto"/>
              <w:rPr>
                <w:sz w:val="16"/>
              </w:rPr>
            </w:pPr>
            <w:r>
              <w:rPr>
                <w:rFonts w:hint="eastAsia"/>
                <w:sz w:val="16"/>
                <w:szCs w:val="16"/>
              </w:rPr>
              <w:t>解释</w:t>
            </w:r>
          </w:p>
        </w:tc>
      </w:tr>
      <w:tr w14:paraId="47381798">
        <w:trPr>
          <w:cantSplit/>
        </w:trPr>
        <w:tc>
          <w:tcPr>
            <w:tcW w:w="1622" w:type="dxa"/>
          </w:tcPr>
          <w:p w14:paraId="1719994B">
            <w:pPr>
              <w:pStyle w:val="26"/>
              <w:keepNext/>
              <w:numPr>
                <w:ilvl w:val="0"/>
                <w:numId w:val="0"/>
              </w:numPr>
              <w:snapToGrid w:val="0"/>
              <w:spacing w:before="0" w:after="0" w:line="240" w:lineRule="auto"/>
              <w:rPr>
                <w:sz w:val="16"/>
              </w:rPr>
            </w:pPr>
            <w:r>
              <w:rPr>
                <w:rFonts w:hint="eastAsia"/>
                <w:sz w:val="16"/>
                <w:szCs w:val="16"/>
              </w:rPr>
              <w:t>机器人质量</w:t>
            </w:r>
          </w:p>
        </w:tc>
        <w:tc>
          <w:tcPr>
            <w:tcW w:w="1622" w:type="dxa"/>
          </w:tcPr>
          <w:p w14:paraId="0669448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35 </m:t>
                </m:r>
                <m:r>
                  <m:rPr>
                    <m:sty m:val="p"/>
                  </m:rPr>
                  <w:rPr>
                    <w:rFonts w:ascii="Cambria Math" w:hAnsi="Cambria Math" w:eastAsia="Cambria Math" w:cs="Cambria Math"/>
                    <w:sz w:val="16"/>
                    <w:szCs w:val="16"/>
                  </w:rPr>
                  <m:t>kg</m:t>
                </m:r>
              </m:oMath>
            </m:oMathPara>
          </w:p>
        </w:tc>
        <w:tc>
          <w:tcPr>
            <w:tcW w:w="1622" w:type="dxa"/>
          </w:tcPr>
          <w:p w14:paraId="67B67A5E">
            <w:pPr>
              <w:pStyle w:val="26"/>
              <w:keepNext/>
              <w:numPr>
                <w:ilvl w:val="0"/>
                <w:numId w:val="0"/>
              </w:numPr>
              <w:snapToGrid w:val="0"/>
              <w:spacing w:before="0" w:after="0" w:line="240" w:lineRule="auto"/>
              <w:rPr>
                <w:sz w:val="16"/>
              </w:rPr>
            </w:pPr>
            <w:r>
              <w:rPr>
                <w:rFonts w:hint="eastAsia"/>
                <w:sz w:val="16"/>
                <w:szCs w:val="16"/>
              </w:rPr>
              <w:t>载荷与附件口径未说明</w:t>
            </w:r>
          </w:p>
        </w:tc>
      </w:tr>
      <w:tr w14:paraId="5D57C343">
        <w:tblPrEx>
          <w:tblCellMar>
            <w:top w:w="0" w:type="dxa"/>
            <w:left w:w="108" w:type="dxa"/>
            <w:bottom w:w="0" w:type="dxa"/>
            <w:right w:w="108" w:type="dxa"/>
          </w:tblCellMar>
        </w:tblPrEx>
        <w:trPr>
          <w:cantSplit/>
        </w:trPr>
        <w:tc>
          <w:tcPr>
            <w:tcW w:w="1622" w:type="dxa"/>
          </w:tcPr>
          <w:p w14:paraId="5B0F3A66">
            <w:pPr>
              <w:pStyle w:val="26"/>
              <w:keepNext/>
              <w:numPr>
                <w:ilvl w:val="0"/>
                <w:numId w:val="0"/>
              </w:numPr>
              <w:snapToGrid w:val="0"/>
              <w:spacing w:before="0" w:after="0" w:line="240" w:lineRule="auto"/>
              <w:rPr>
                <w:sz w:val="16"/>
              </w:rPr>
            </w:pPr>
            <w:r>
              <w:rPr>
                <w:rFonts w:hint="eastAsia"/>
                <w:sz w:val="16"/>
                <w:szCs w:val="16"/>
              </w:rPr>
              <w:t>工作电压</w:t>
            </w:r>
          </w:p>
        </w:tc>
        <w:tc>
          <w:tcPr>
            <w:tcW w:w="1622" w:type="dxa"/>
          </w:tcPr>
          <w:p w14:paraId="51DA5798">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24 </m:t>
                </m:r>
                <m:r>
                  <m:rPr>
                    <m:sty m:val="p"/>
                  </m:rPr>
                  <w:rPr>
                    <w:rFonts w:ascii="Cambria Math" w:hAnsi="Cambria Math" w:eastAsia="Cambria Math" w:cs="Cambria Math"/>
                    <w:sz w:val="16"/>
                    <w:szCs w:val="16"/>
                  </w:rPr>
                  <m:t>V</m:t>
                </m:r>
              </m:oMath>
            </m:oMathPara>
          </w:p>
        </w:tc>
        <w:tc>
          <w:tcPr>
            <w:tcW w:w="1622" w:type="dxa"/>
          </w:tcPr>
          <w:p w14:paraId="5EFA34DE">
            <w:pPr>
              <w:pStyle w:val="26"/>
              <w:keepNext/>
              <w:numPr>
                <w:ilvl w:val="0"/>
                <w:numId w:val="0"/>
              </w:numPr>
              <w:snapToGrid w:val="0"/>
              <w:spacing w:before="0" w:after="0" w:line="240" w:lineRule="auto"/>
              <w:rPr>
                <w:sz w:val="16"/>
              </w:rPr>
            </w:pPr>
            <w:r>
              <w:rPr>
                <w:rFonts w:hint="eastAsia"/>
                <w:sz w:val="16"/>
                <w:szCs w:val="16"/>
              </w:rPr>
              <w:t>供电参数，不代表平均功率</w:t>
            </w:r>
          </w:p>
        </w:tc>
      </w:tr>
      <w:tr w14:paraId="1E7133F4">
        <w:trPr>
          <w:cantSplit/>
        </w:trPr>
        <w:tc>
          <w:tcPr>
            <w:tcW w:w="1622" w:type="dxa"/>
          </w:tcPr>
          <w:p w14:paraId="6A3C45FC">
            <w:pPr>
              <w:pStyle w:val="26"/>
              <w:keepNext/>
              <w:numPr>
                <w:ilvl w:val="0"/>
                <w:numId w:val="0"/>
              </w:numPr>
              <w:snapToGrid w:val="0"/>
              <w:spacing w:before="0" w:after="0" w:line="240" w:lineRule="auto"/>
              <w:rPr>
                <w:sz w:val="16"/>
              </w:rPr>
            </w:pPr>
            <w:r>
              <w:rPr>
                <w:rFonts w:hint="eastAsia"/>
                <w:sz w:val="16"/>
                <w:szCs w:val="16"/>
              </w:rPr>
              <w:t>车体最大速度</w:t>
            </w:r>
          </w:p>
        </w:tc>
        <w:tc>
          <w:tcPr>
            <w:tcW w:w="1622" w:type="dxa"/>
          </w:tcPr>
          <w:p w14:paraId="3514ECE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3 </m:t>
                </m:r>
                <m:r>
                  <m:rPr>
                    <m:sty m:val="p"/>
                  </m:rPr>
                  <w:rPr>
                    <w:rFonts w:ascii="Cambria Math" w:hAnsi="Cambria Math" w:eastAsia="Cambria Math" w:cs="Cambria Math"/>
                    <w:sz w:val="16"/>
                    <w:szCs w:val="16"/>
                  </w:rPr>
                  <m:t>m/s</m:t>
                </m:r>
              </m:oMath>
            </m:oMathPara>
          </w:p>
        </w:tc>
        <w:tc>
          <w:tcPr>
            <w:tcW w:w="1622" w:type="dxa"/>
          </w:tcPr>
          <w:p w14:paraId="69148A9D">
            <w:pPr>
              <w:pStyle w:val="26"/>
              <w:keepNext/>
              <w:numPr>
                <w:ilvl w:val="0"/>
                <w:numId w:val="0"/>
              </w:numPr>
              <w:snapToGrid w:val="0"/>
              <w:spacing w:before="0" w:after="0" w:line="240" w:lineRule="auto"/>
              <w:rPr>
                <w:sz w:val="16"/>
              </w:rPr>
            </w:pPr>
            <w:r>
              <w:rPr>
                <w:rFonts w:hint="eastAsia"/>
                <w:sz w:val="16"/>
                <w:szCs w:val="16"/>
              </w:rPr>
              <w:t>参数表记录，缺测试过程</w:t>
            </w:r>
          </w:p>
        </w:tc>
      </w:tr>
      <w:tr w14:paraId="57B70065">
        <w:tblPrEx>
          <w:tblCellMar>
            <w:top w:w="0" w:type="dxa"/>
            <w:left w:w="108" w:type="dxa"/>
            <w:bottom w:w="0" w:type="dxa"/>
            <w:right w:w="108" w:type="dxa"/>
          </w:tblCellMar>
        </w:tblPrEx>
        <w:trPr>
          <w:cantSplit/>
        </w:trPr>
        <w:tc>
          <w:tcPr>
            <w:tcW w:w="1622" w:type="dxa"/>
          </w:tcPr>
          <w:p w14:paraId="705B1417">
            <w:pPr>
              <w:pStyle w:val="26"/>
              <w:keepNext/>
              <w:numPr>
                <w:ilvl w:val="0"/>
                <w:numId w:val="0"/>
              </w:numPr>
              <w:snapToGrid w:val="0"/>
              <w:spacing w:before="0" w:after="0" w:line="240" w:lineRule="auto"/>
              <w:rPr>
                <w:sz w:val="16"/>
              </w:rPr>
            </w:pPr>
            <w:r>
              <w:rPr>
                <w:rFonts w:hint="eastAsia"/>
                <w:sz w:val="16"/>
                <w:szCs w:val="16"/>
              </w:rPr>
              <w:t>腿部关节驱动</w:t>
            </w:r>
          </w:p>
        </w:tc>
        <w:tc>
          <w:tcPr>
            <w:tcW w:w="1622" w:type="dxa"/>
          </w:tcPr>
          <w:p w14:paraId="06DE7E4D">
            <w:pPr>
              <w:pStyle w:val="26"/>
              <w:keepNext/>
              <w:numPr>
                <w:ilvl w:val="0"/>
                <w:numId w:val="0"/>
              </w:numPr>
              <w:snapToGrid w:val="0"/>
              <w:spacing w:before="0" w:after="0" w:line="240" w:lineRule="auto"/>
              <w:rPr>
                <w:sz w:val="16"/>
              </w:rPr>
            </w:pPr>
            <w:r>
              <w:rPr>
                <w:sz w:val="16"/>
                <w:szCs w:val="16"/>
              </w:rPr>
              <w:t xml:space="preserve">8 </w:t>
            </w:r>
            <w:r>
              <w:rPr>
                <w:rFonts w:hint="eastAsia"/>
                <w:sz w:val="16"/>
                <w:szCs w:val="16"/>
              </w:rPr>
              <w:t>个</w:t>
            </w:r>
            <w:r>
              <w:rPr>
                <w:sz w:val="16"/>
                <w:szCs w:val="16"/>
              </w:rPr>
              <w:t xml:space="preserve"> DM-8009p-2EC</w:t>
            </w:r>
          </w:p>
        </w:tc>
        <w:tc>
          <w:tcPr>
            <w:tcW w:w="1622" w:type="dxa"/>
          </w:tcPr>
          <w:p w14:paraId="5A59ED14">
            <w:pPr>
              <w:pStyle w:val="26"/>
              <w:keepNext/>
              <w:numPr>
                <w:ilvl w:val="0"/>
                <w:numId w:val="0"/>
              </w:numPr>
              <w:snapToGrid w:val="0"/>
              <w:spacing w:before="0" w:after="0" w:line="240" w:lineRule="auto"/>
              <w:rPr>
                <w:sz w:val="16"/>
              </w:rPr>
            </w:pPr>
            <w:r>
              <w:rPr>
                <w:rFonts w:hint="eastAsia"/>
                <w:sz w:val="16"/>
                <w:szCs w:val="16"/>
              </w:rPr>
              <w:t>报告列额定转矩</w:t>
            </w:r>
            <w:r>
              <w:rPr>
                <w:sz w:val="16"/>
                <w:szCs w:val="16"/>
              </w:rPr>
              <w:t xml:space="preserve"> </w:t>
            </w:r>
            <m:oMath>
              <m:r>
                <m:rPr/>
                <w:rPr>
                  <w:rFonts w:ascii="Cambria Math" w:hAnsi="Cambria Math" w:eastAsia="Cambria Math" w:cs="Cambria Math"/>
                  <w:sz w:val="16"/>
                  <w:szCs w:val="16"/>
                </w:rPr>
                <m:t>20 </m:t>
              </m:r>
              <m:r>
                <m:rPr>
                  <m:sty m:val="p"/>
                </m:rPr>
                <w:rPr>
                  <w:rFonts w:ascii="Cambria Math" w:hAnsi="Cambria Math" w:eastAsia="Cambria Math" w:cs="Cambria Math"/>
                  <w:sz w:val="16"/>
                  <w:szCs w:val="16"/>
                </w:rPr>
                <m:t>N⋅m</m:t>
              </m:r>
            </m:oMath>
          </w:p>
        </w:tc>
      </w:tr>
      <w:tr w14:paraId="28B22819">
        <w:trPr>
          <w:cantSplit/>
        </w:trPr>
        <w:tc>
          <w:tcPr>
            <w:tcW w:w="1622" w:type="dxa"/>
          </w:tcPr>
          <w:p w14:paraId="19F7AEBE">
            <w:pPr>
              <w:pStyle w:val="26"/>
              <w:keepNext/>
              <w:numPr>
                <w:ilvl w:val="0"/>
                <w:numId w:val="0"/>
              </w:numPr>
              <w:snapToGrid w:val="0"/>
              <w:spacing w:before="0" w:after="0" w:line="240" w:lineRule="auto"/>
              <w:rPr>
                <w:sz w:val="16"/>
              </w:rPr>
            </w:pPr>
            <w:r>
              <w:rPr>
                <w:rFonts w:hint="eastAsia"/>
                <w:sz w:val="16"/>
                <w:szCs w:val="16"/>
              </w:rPr>
              <w:t>主端姿态编码器</w:t>
            </w:r>
          </w:p>
        </w:tc>
        <w:tc>
          <w:tcPr>
            <w:tcW w:w="1622" w:type="dxa"/>
          </w:tcPr>
          <w:p w14:paraId="1339214F">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MT6701</w:t>
            </w:r>
          </w:p>
        </w:tc>
        <w:tc>
          <w:tcPr>
            <w:tcW w:w="1622" w:type="dxa"/>
          </w:tcPr>
          <w:p w14:paraId="5F72FEC2">
            <w:pPr>
              <w:pStyle w:val="26"/>
              <w:keepNext/>
              <w:numPr>
                <w:ilvl w:val="0"/>
                <w:numId w:val="0"/>
              </w:numPr>
              <w:snapToGrid w:val="0"/>
              <w:spacing w:before="0" w:after="0" w:line="240" w:lineRule="auto"/>
              <w:rPr>
                <w:sz w:val="16"/>
              </w:rPr>
            </w:pPr>
            <w:r>
              <w:rPr>
                <w:sz w:val="16"/>
                <w:szCs w:val="16"/>
              </w:rPr>
              <w:t xml:space="preserve">14 bit </w:t>
            </w:r>
            <w:r>
              <w:rPr>
                <w:rFonts w:hint="eastAsia"/>
                <w:sz w:val="16"/>
                <w:szCs w:val="16"/>
              </w:rPr>
              <w:t>输出分辨率</w:t>
            </w:r>
          </w:p>
        </w:tc>
      </w:tr>
      <w:tr w14:paraId="5D2630B2">
        <w:tblPrEx>
          <w:tblCellMar>
            <w:top w:w="0" w:type="dxa"/>
            <w:left w:w="108" w:type="dxa"/>
            <w:bottom w:w="0" w:type="dxa"/>
            <w:right w:w="108" w:type="dxa"/>
          </w:tblCellMar>
        </w:tblPrEx>
        <w:trPr>
          <w:cantSplit/>
        </w:trPr>
        <w:tc>
          <w:tcPr>
            <w:tcW w:w="1622" w:type="dxa"/>
          </w:tcPr>
          <w:p w14:paraId="07166F5E">
            <w:pPr>
              <w:pStyle w:val="26"/>
              <w:keepNext/>
              <w:numPr>
                <w:ilvl w:val="0"/>
                <w:numId w:val="0"/>
              </w:numPr>
              <w:snapToGrid w:val="0"/>
              <w:spacing w:before="0" w:after="0" w:line="240" w:lineRule="auto"/>
              <w:rPr>
                <w:sz w:val="16"/>
              </w:rPr>
            </w:pPr>
            <w:r>
              <w:rPr>
                <w:rFonts w:hint="eastAsia"/>
                <w:sz w:val="16"/>
                <w:szCs w:val="16"/>
              </w:rPr>
              <w:t>激光测距</w:t>
            </w:r>
          </w:p>
        </w:tc>
        <w:tc>
          <w:tcPr>
            <w:tcW w:w="1622" w:type="dxa"/>
          </w:tcPr>
          <w:p w14:paraId="358500BB">
            <w:pPr>
              <w:pStyle w:val="26"/>
              <w:keepNext/>
              <w:numPr>
                <w:ilvl w:val="0"/>
                <w:numId w:val="0"/>
              </w:numPr>
              <w:snapToGrid w:val="0"/>
              <w:spacing w:before="0" w:after="0" w:line="240" w:lineRule="auto"/>
              <w:rPr>
                <w:sz w:val="16"/>
              </w:rPr>
            </w:pPr>
            <w:r>
              <w:rPr>
                <w:sz w:val="16"/>
                <w:szCs w:val="16"/>
              </w:rPr>
              <w:t xml:space="preserve">2 </w:t>
            </w:r>
            <w:r>
              <w:rPr>
                <w:rFonts w:hint="eastAsia"/>
                <w:sz w:val="16"/>
                <w:szCs w:val="16"/>
              </w:rPr>
              <w:t>个</w:t>
            </w:r>
            <w:r>
              <w:rPr>
                <w:sz w:val="16"/>
                <w:szCs w:val="16"/>
              </w:rPr>
              <w:t xml:space="preserve"> ATK-MS530L0M</w:t>
            </w:r>
          </w:p>
        </w:tc>
        <w:tc>
          <w:tcPr>
            <w:tcW w:w="1622" w:type="dxa"/>
          </w:tcPr>
          <w:p w14:paraId="44447E48">
            <w:pPr>
              <w:pStyle w:val="26"/>
              <w:keepNext/>
              <w:numPr>
                <w:ilvl w:val="0"/>
                <w:numId w:val="0"/>
              </w:numPr>
              <w:snapToGrid w:val="0"/>
              <w:spacing w:before="0" w:after="0" w:line="240" w:lineRule="auto"/>
              <w:rPr>
                <w:sz w:val="16"/>
              </w:rPr>
            </w:pPr>
            <w:r>
              <w:rPr>
                <w:rFonts w:hint="eastAsia"/>
                <w:sz w:val="16"/>
                <w:szCs w:val="16"/>
              </w:rPr>
              <w:t>量程</w:t>
            </w:r>
            <w:r>
              <w:rPr>
                <w:sz w:val="16"/>
                <w:szCs w:val="16"/>
              </w:rPr>
              <w:t xml:space="preserve"> </w:t>
            </w:r>
            <m:oMath>
              <m:r>
                <m:rPr/>
                <w:rPr>
                  <w:rFonts w:ascii="Cambria Math" w:hAnsi="Cambria Math" w:eastAsia="Cambria Math" w:cs="Cambria Math"/>
                  <w:sz w:val="16"/>
                  <w:szCs w:val="16"/>
                </w:rPr>
                <m:t>40</m:t>
              </m:r>
            </m:oMath>
            <w:r>
              <w:rPr>
                <w:sz w:val="16"/>
                <w:szCs w:val="16"/>
              </w:rPr>
              <w:t>–</w:t>
            </w:r>
            <m:oMath>
              <m:r>
                <m:rPr/>
                <w:rPr>
                  <w:rFonts w:ascii="Cambria Math" w:hAnsi="Cambria Math" w:eastAsia="Cambria Math" w:cs="Cambria Math"/>
                  <w:sz w:val="16"/>
                  <w:szCs w:val="16"/>
                </w:rPr>
                <m:t>1600 </m:t>
              </m:r>
              <m:r>
                <m:rPr>
                  <m:sty m:val="p"/>
                </m:rPr>
                <w:rPr>
                  <w:rFonts w:ascii="Cambria Math" w:hAnsi="Cambria Math" w:eastAsia="Cambria Math" w:cs="Cambria Math"/>
                  <w:sz w:val="16"/>
                  <w:szCs w:val="16"/>
                </w:rPr>
                <m:t>mm</m:t>
              </m:r>
            </m:oMath>
          </w:p>
        </w:tc>
      </w:tr>
      <w:tr w14:paraId="1600776B">
        <w:trPr>
          <w:cantSplit/>
        </w:trPr>
        <w:tc>
          <w:tcPr>
            <w:tcW w:w="1622" w:type="dxa"/>
          </w:tcPr>
          <w:p w14:paraId="3E5BA122">
            <w:pPr>
              <w:pStyle w:val="26"/>
              <w:keepNext/>
              <w:numPr>
                <w:ilvl w:val="0"/>
                <w:numId w:val="0"/>
              </w:numPr>
              <w:snapToGrid w:val="0"/>
              <w:spacing w:before="0" w:after="0" w:line="240" w:lineRule="auto"/>
              <w:rPr>
                <w:sz w:val="16"/>
              </w:rPr>
            </w:pPr>
            <w:r>
              <w:rPr>
                <w:rFonts w:hint="eastAsia"/>
                <w:sz w:val="16"/>
                <w:szCs w:val="16"/>
              </w:rPr>
              <w:t>主端平移驱动</w:t>
            </w:r>
          </w:p>
        </w:tc>
        <w:tc>
          <w:tcPr>
            <w:tcW w:w="1622" w:type="dxa"/>
          </w:tcPr>
          <w:p w14:paraId="7092C9B7">
            <w:pPr>
              <w:pStyle w:val="26"/>
              <w:keepNext/>
              <w:numPr>
                <w:ilvl w:val="0"/>
                <w:numId w:val="0"/>
              </w:numPr>
              <w:snapToGrid w:val="0"/>
              <w:spacing w:before="0" w:after="0" w:line="240" w:lineRule="auto"/>
              <w:rPr>
                <w:sz w:val="16"/>
              </w:rPr>
            </w:pPr>
            <w:r>
              <w:rPr>
                <w:sz w:val="16"/>
                <w:szCs w:val="16"/>
              </w:rPr>
              <w:t xml:space="preserve">3 </w:t>
            </w:r>
            <w:r>
              <w:rPr>
                <w:rFonts w:hint="eastAsia"/>
                <w:sz w:val="16"/>
                <w:szCs w:val="16"/>
              </w:rPr>
              <w:t>个</w:t>
            </w:r>
            <w:r>
              <w:rPr>
                <w:sz w:val="16"/>
                <w:szCs w:val="16"/>
              </w:rPr>
              <w:t xml:space="preserve"> M3508</w:t>
            </w:r>
          </w:p>
        </w:tc>
        <w:tc>
          <w:tcPr>
            <w:tcW w:w="1622" w:type="dxa"/>
          </w:tcPr>
          <w:p w14:paraId="64EBA95A">
            <w:pPr>
              <w:pStyle w:val="26"/>
              <w:keepNext/>
              <w:numPr>
                <w:ilvl w:val="0"/>
                <w:numId w:val="0"/>
              </w:numPr>
              <w:snapToGrid w:val="0"/>
              <w:spacing w:before="0" w:after="0" w:line="240" w:lineRule="auto"/>
              <w:rPr>
                <w:sz w:val="16"/>
              </w:rPr>
            </w:pPr>
            <w:r>
              <w:rPr>
                <w:rFonts w:hint="eastAsia"/>
                <w:sz w:val="16"/>
                <w:szCs w:val="16"/>
              </w:rPr>
              <w:t>用于</w:t>
            </w:r>
            <w:r>
              <w:rPr>
                <w:sz w:val="16"/>
                <w:szCs w:val="16"/>
              </w:rPr>
              <w:t xml:space="preserve"> Delta </w:t>
            </w:r>
            <w:r>
              <w:rPr>
                <w:rFonts w:hint="eastAsia"/>
                <w:sz w:val="16"/>
                <w:szCs w:val="16"/>
              </w:rPr>
              <w:t>机构</w:t>
            </w:r>
          </w:p>
        </w:tc>
      </w:tr>
      <w:tr w14:paraId="7B124303">
        <w:tblPrEx>
          <w:tblCellMar>
            <w:top w:w="0" w:type="dxa"/>
            <w:left w:w="108" w:type="dxa"/>
            <w:bottom w:w="0" w:type="dxa"/>
            <w:right w:w="108" w:type="dxa"/>
          </w:tblCellMar>
        </w:tblPrEx>
        <w:trPr>
          <w:cantSplit/>
        </w:trPr>
        <w:tc>
          <w:tcPr>
            <w:tcW w:w="1622" w:type="dxa"/>
          </w:tcPr>
          <w:p w14:paraId="0B0122BA">
            <w:pPr>
              <w:pStyle w:val="26"/>
              <w:keepNext w:val="0"/>
              <w:numPr>
                <w:ilvl w:val="0"/>
                <w:numId w:val="0"/>
              </w:numPr>
              <w:snapToGrid w:val="0"/>
              <w:spacing w:before="0" w:after="0" w:line="240" w:lineRule="auto"/>
              <w:rPr>
                <w:sz w:val="16"/>
              </w:rPr>
            </w:pPr>
            <w:r>
              <w:rPr>
                <w:rFonts w:hint="eastAsia"/>
                <w:sz w:val="16"/>
                <w:szCs w:val="16"/>
              </w:rPr>
              <w:t>软件部署</w:t>
            </w:r>
          </w:p>
        </w:tc>
        <w:tc>
          <w:tcPr>
            <w:tcW w:w="1622" w:type="dxa"/>
          </w:tcPr>
          <w:p w14:paraId="71D8E5AE">
            <w:pPr>
              <w:pStyle w:val="26"/>
              <w:keepNext w:val="0"/>
              <w:numPr>
                <w:ilvl w:val="0"/>
                <w:numId w:val="0"/>
              </w:numPr>
              <w:snapToGrid w:val="0"/>
              <w:spacing w:before="0" w:after="0" w:line="240" w:lineRule="auto"/>
              <w:rPr>
                <w:sz w:val="16"/>
              </w:rPr>
            </w:pPr>
            <w:r>
              <w:rPr>
                <w:sz w:val="16"/>
                <w:szCs w:val="16"/>
              </w:rPr>
              <w:t>ARM Cortex-M、C/C++</w:t>
            </w:r>
          </w:p>
        </w:tc>
        <w:tc>
          <w:tcPr>
            <w:tcW w:w="1622" w:type="dxa"/>
          </w:tcPr>
          <w:p w14:paraId="4BBFF232">
            <w:pPr>
              <w:pStyle w:val="26"/>
              <w:keepNext w:val="0"/>
              <w:numPr>
                <w:ilvl w:val="0"/>
                <w:numId w:val="0"/>
              </w:numPr>
              <w:snapToGrid w:val="0"/>
              <w:spacing w:before="0" w:after="0" w:line="240" w:lineRule="auto"/>
              <w:rPr>
                <w:sz w:val="16"/>
              </w:rPr>
            </w:pPr>
            <w:r>
              <w:rPr>
                <w:sz w:val="16"/>
                <w:szCs w:val="16"/>
              </w:rPr>
              <w:t>STM32CubeMX、CMake、Ninja</w:t>
            </w:r>
          </w:p>
        </w:tc>
      </w:tr>
    </w:tbl>
    <w:p w14:paraId="033A0211">
      <w:pPr>
        <w:pStyle w:val="7"/>
        <w:numPr>
          <w:ilvl w:val="0"/>
          <w:numId w:val="0"/>
        </w:numPr>
        <w:snapToGrid w:val="0"/>
        <w:rPr>
          <w:sz w:val="20"/>
        </w:rPr>
      </w:pPr>
      <w:r>
        <w:rPr>
          <w:rFonts w:hint="eastAsia"/>
          <w:sz w:val="20"/>
          <w:szCs w:val="20"/>
        </w:rPr>
        <w:t>软件框架分为配置层、操作系统抽象层、板级支持层、硬件抽象层、通用库和应用层等模块。报告使用</w:t>
      </w:r>
      <w:r>
        <w:rPr>
          <w:sz w:val="20"/>
          <w:szCs w:val="20"/>
        </w:rPr>
        <w:t xml:space="preserve"> MATLAB </w:t>
      </w:r>
      <w:r>
        <w:rPr>
          <w:rFonts w:hint="eastAsia"/>
          <w:sz w:val="20"/>
          <w:szCs w:val="20"/>
        </w:rPr>
        <w:t>进行符号推导与运动学可视化，使用</w:t>
      </w:r>
      <w:r>
        <w:rPr>
          <w:sz w:val="20"/>
          <w:szCs w:val="20"/>
        </w:rPr>
        <w:t xml:space="preserve"> CAD </w:t>
      </w:r>
      <w:r>
        <w:rPr>
          <w:rFonts w:hint="eastAsia"/>
          <w:sz w:val="20"/>
          <w:szCs w:val="20"/>
        </w:rPr>
        <w:t>参数建立动力学模型，再部署至嵌入式控制器。具体</w:t>
      </w:r>
      <w:r>
        <w:rPr>
          <w:sz w:val="20"/>
          <w:szCs w:val="20"/>
        </w:rPr>
        <w:t xml:space="preserve"> MCU </w:t>
      </w:r>
      <w:r>
        <w:rPr>
          <w:rFonts w:hint="eastAsia"/>
          <w:sz w:val="20"/>
          <w:szCs w:val="20"/>
        </w:rPr>
        <w:t>型号、控制周期、无线链路频率、PID</w:t>
      </w:r>
      <w:r>
        <w:rPr>
          <w:sz w:val="20"/>
          <w:szCs w:val="20"/>
        </w:rPr>
        <w:t xml:space="preserve"> </w:t>
      </w:r>
      <w:r>
        <w:rPr>
          <w:rFonts w:hint="eastAsia"/>
          <w:sz w:val="20"/>
          <w:szCs w:val="20"/>
        </w:rPr>
        <w:t>增益、TD</w:t>
      </w:r>
      <w:r>
        <w:rPr>
          <w:sz w:val="20"/>
          <w:szCs w:val="20"/>
        </w:rPr>
        <w:t xml:space="preserve"> </w:t>
      </w:r>
      <w:r>
        <w:rPr>
          <w:rFonts w:hint="eastAsia"/>
          <w:sz w:val="20"/>
          <w:szCs w:val="20"/>
        </w:rPr>
        <w:t>参数和全部惯性参数未完整列出，因而当前只能复现方法结构，尚不能精确复现实机响应。</w:t>
      </w:r>
    </w:p>
    <w:p w14:paraId="3F145357">
      <w:pPr>
        <w:pStyle w:val="7"/>
        <w:numPr>
          <w:ilvl w:val="0"/>
          <w:numId w:val="0"/>
        </w:numPr>
        <w:snapToGrid w:val="0"/>
        <w:rPr>
          <w:sz w:val="20"/>
        </w:rPr>
      </w:pPr>
      <w:r>
        <w:rPr>
          <w:rFonts w:hint="eastAsia"/>
          <w:sz w:val="20"/>
          <w:szCs w:val="20"/>
        </w:rPr>
        <w:t>现有对比设置为机械臂第一关节的</w:t>
      </w:r>
      <w:r>
        <w:rPr>
          <w:sz w:val="20"/>
          <w:szCs w:val="20"/>
        </w:rPr>
        <w:t xml:space="preserve"> </w:t>
      </w:r>
      <m:oMath>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4 </m:t>
        </m:r>
        <m:r>
          <m:rPr>
            <m:sty m:val="p"/>
          </m:rPr>
          <w:rPr>
            <w:rFonts w:ascii="Cambria Math" w:hAnsi="Cambria Math" w:eastAsia="Cambria Math" w:cs="Cambria Math"/>
            <w:sz w:val="20"/>
            <w:szCs w:val="20"/>
          </w:rPr>
          <m:t>rad</m:t>
        </m:r>
      </m:oMath>
      <w:r>
        <w:rPr>
          <w:sz w:val="20"/>
          <w:szCs w:val="20"/>
        </w:rPr>
        <w:t xml:space="preserve"> </w:t>
      </w:r>
      <w:r>
        <w:rPr>
          <w:rFonts w:hint="eastAsia"/>
          <w:sz w:val="20"/>
          <w:szCs w:val="20"/>
        </w:rPr>
        <w:t>阶跃输入，比较单纯串级</w:t>
      </w:r>
      <w:r>
        <w:rPr>
          <w:sz w:val="20"/>
          <w:szCs w:val="20"/>
        </w:rPr>
        <w:t xml:space="preserve"> PID </w:t>
      </w:r>
      <w:r>
        <w:rPr>
          <w:rFonts w:hint="eastAsia"/>
          <w:sz w:val="20"/>
          <w:szCs w:val="20"/>
        </w:rPr>
        <w:t>与跟踪微分器（tracking</w:t>
      </w:r>
      <w:r>
        <w:rPr>
          <w:sz w:val="20"/>
          <w:szCs w:val="20"/>
        </w:rPr>
        <w:t xml:space="preserve"> </w:t>
      </w:r>
      <w:r>
        <w:rPr>
          <w:rFonts w:hint="eastAsia"/>
          <w:sz w:val="20"/>
          <w:szCs w:val="20"/>
        </w:rPr>
        <w:t>differentiator，TD）加串级</w:t>
      </w:r>
      <w:r>
        <w:rPr>
          <w:sz w:val="20"/>
          <w:szCs w:val="20"/>
        </w:rPr>
        <w:t xml:space="preserve"> </w:t>
      </w:r>
      <w:r>
        <w:rPr>
          <w:rFonts w:hint="eastAsia"/>
          <w:sz w:val="20"/>
          <w:szCs w:val="20"/>
        </w:rPr>
        <w:t>PID，后者用于平滑参考指令。底盘仿真记录包括台阶和减速带通过，实机记录包括基本运动、单边台阶、坡道自平衡和双级台阶功能。仿真、实机及上一代平台演示分别记录，不合并为同一实验条件。</w:t>
      </w:r>
    </w:p>
    <w:bookmarkEnd w:id="21"/>
    <w:p w14:paraId="1C693FF2">
      <w:pPr>
        <w:pStyle w:val="3"/>
        <w:numPr>
          <w:ilvl w:val="1"/>
          <w:numId w:val="0"/>
        </w:numPr>
        <w:snapToGrid w:val="0"/>
      </w:pPr>
      <w:bookmarkStart w:id="22" w:name="c.-结果与分析"/>
      <w:r>
        <w:t xml:space="preserve">C. </w:t>
      </w:r>
      <w:r>
        <w:rPr>
          <w:rFonts w:hint="eastAsia"/>
        </w:rPr>
        <w:t>结果与分析</w:t>
      </w:r>
    </w:p>
    <w:p w14:paraId="0834B484">
      <w:pPr>
        <w:pStyle w:val="7"/>
        <w:numPr>
          <w:ilvl w:val="0"/>
          <w:numId w:val="0"/>
        </w:numPr>
        <w:snapToGrid w:val="0"/>
        <w:rPr>
          <w:sz w:val="20"/>
        </w:rPr>
      </w:pPr>
      <w:r>
        <w:rPr>
          <w:rFonts w:hint="eastAsia"/>
          <w:sz w:val="20"/>
          <w:szCs w:val="20"/>
        </w:rPr>
        <w:t>已有结果及其证据范围汇总于</w:t>
      </w:r>
      <w:r>
        <w:rPr>
          <w:sz w:val="20"/>
          <w:szCs w:val="20"/>
        </w:rPr>
        <w:t xml:space="preserve"> TABLE IV。</w:t>
      </w:r>
    </w:p>
    <w:p w14:paraId="392A1BFE">
      <w:pPr>
        <w:pStyle w:val="28"/>
        <w:keepNext/>
        <w:numPr>
          <w:ilvl w:val="0"/>
          <w:numId w:val="0"/>
        </w:numPr>
        <w:snapToGrid w:val="0"/>
      </w:pPr>
      <w:r>
        <w:rPr>
          <w:bCs/>
        </w:rPr>
        <w:t xml:space="preserve">TABLE IV. </w:t>
      </w:r>
      <w:r>
        <w:rPr>
          <w:rFonts w:hint="eastAsia"/>
          <w:bCs/>
        </w:rPr>
        <w:t>已有实验记录及其证据范围</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2BC11444">
        <w:tblPrEx>
          <w:tblCellMar>
            <w:top w:w="0" w:type="dxa"/>
            <w:left w:w="108" w:type="dxa"/>
            <w:bottom w:w="0" w:type="dxa"/>
            <w:right w:w="108" w:type="dxa"/>
          </w:tblCellMar>
        </w:tblPrEx>
        <w:trPr>
          <w:cantSplit/>
          <w:tblHeader/>
        </w:trPr>
        <w:tc>
          <w:tcPr>
            <w:tcW w:w="1622" w:type="dxa"/>
          </w:tcPr>
          <w:p w14:paraId="3D89D116">
            <w:pPr>
              <w:pStyle w:val="24"/>
              <w:keepNext/>
              <w:numPr>
                <w:ilvl w:val="0"/>
                <w:numId w:val="0"/>
              </w:numPr>
              <w:snapToGrid w:val="0"/>
              <w:spacing w:before="0" w:after="0" w:line="240" w:lineRule="auto"/>
              <w:rPr>
                <w:sz w:val="16"/>
              </w:rPr>
            </w:pPr>
            <w:r>
              <w:rPr>
                <w:rFonts w:hint="eastAsia"/>
                <w:sz w:val="16"/>
                <w:szCs w:val="16"/>
              </w:rPr>
              <w:t>项目</w:t>
            </w:r>
          </w:p>
        </w:tc>
        <w:tc>
          <w:tcPr>
            <w:tcW w:w="1622" w:type="dxa"/>
          </w:tcPr>
          <w:p w14:paraId="4D115597">
            <w:pPr>
              <w:pStyle w:val="24"/>
              <w:keepNext/>
              <w:numPr>
                <w:ilvl w:val="0"/>
                <w:numId w:val="0"/>
              </w:numPr>
              <w:snapToGrid w:val="0"/>
              <w:spacing w:before="0" w:after="0" w:line="240" w:lineRule="auto"/>
              <w:rPr>
                <w:sz w:val="16"/>
              </w:rPr>
            </w:pPr>
            <w:r>
              <w:rPr>
                <w:rFonts w:hint="eastAsia"/>
                <w:sz w:val="16"/>
                <w:szCs w:val="16"/>
              </w:rPr>
              <w:t>已有结果</w:t>
            </w:r>
          </w:p>
        </w:tc>
        <w:tc>
          <w:tcPr>
            <w:tcW w:w="1622" w:type="dxa"/>
          </w:tcPr>
          <w:p w14:paraId="3B17C247">
            <w:pPr>
              <w:pStyle w:val="24"/>
              <w:keepNext/>
              <w:numPr>
                <w:ilvl w:val="0"/>
                <w:numId w:val="0"/>
              </w:numPr>
              <w:snapToGrid w:val="0"/>
              <w:spacing w:before="0" w:after="0" w:line="240" w:lineRule="auto"/>
              <w:rPr>
                <w:sz w:val="16"/>
              </w:rPr>
            </w:pPr>
            <w:r>
              <w:rPr>
                <w:rFonts w:hint="eastAsia"/>
                <w:sz w:val="16"/>
                <w:szCs w:val="16"/>
              </w:rPr>
              <w:t>证据范围</w:t>
            </w:r>
          </w:p>
        </w:tc>
      </w:tr>
      <w:tr w14:paraId="40EBEBAE">
        <w:tblPrEx>
          <w:tblCellMar>
            <w:top w:w="0" w:type="dxa"/>
            <w:left w:w="108" w:type="dxa"/>
            <w:bottom w:w="0" w:type="dxa"/>
            <w:right w:w="108" w:type="dxa"/>
          </w:tblCellMar>
        </w:tblPrEx>
        <w:trPr>
          <w:cantSplit/>
        </w:trPr>
        <w:tc>
          <w:tcPr>
            <w:tcW w:w="1622" w:type="dxa"/>
          </w:tcPr>
          <w:p w14:paraId="12D5C437">
            <w:pPr>
              <w:pStyle w:val="26"/>
              <w:keepNext/>
              <w:numPr>
                <w:ilvl w:val="0"/>
                <w:numId w:val="0"/>
              </w:numPr>
              <w:snapToGrid w:val="0"/>
              <w:spacing w:before="0" w:after="0" w:line="240" w:lineRule="auto"/>
              <w:rPr>
                <w:sz w:val="16"/>
              </w:rPr>
            </w:pPr>
            <w:r>
              <w:rPr>
                <w:rFonts w:hint="eastAsia"/>
                <w:sz w:val="16"/>
                <w:szCs w:val="16"/>
              </w:rPr>
              <w:t>关节阶跃：串级</w:t>
            </w:r>
            <w:r>
              <w:rPr>
                <w:sz w:val="16"/>
                <w:szCs w:val="16"/>
              </w:rPr>
              <w:t xml:space="preserve"> PID</w:t>
            </w:r>
          </w:p>
        </w:tc>
        <w:tc>
          <w:tcPr>
            <w:tcW w:w="1622" w:type="dxa"/>
          </w:tcPr>
          <w:p w14:paraId="718AE19D">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0.89 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A28E620">
            <w:pPr>
              <w:pStyle w:val="26"/>
              <w:keepNext/>
              <w:numPr>
                <w:ilvl w:val="0"/>
                <w:numId w:val="0"/>
              </w:numPr>
              <w:snapToGrid w:val="0"/>
              <w:spacing w:before="0" w:after="0" w:line="240" w:lineRule="auto"/>
              <w:rPr>
                <w:sz w:val="16"/>
              </w:rPr>
            </w:pPr>
            <w:r>
              <w:rPr>
                <w:rFonts w:hint="eastAsia"/>
                <w:sz w:val="16"/>
                <w:szCs w:val="16"/>
              </w:rPr>
              <w:t>报告第</w:t>
            </w:r>
            <w:r>
              <w:rPr>
                <w:sz w:val="16"/>
                <w:szCs w:val="16"/>
              </w:rPr>
              <w:t xml:space="preserve"> 41 </w:t>
            </w:r>
            <w:r>
              <w:rPr>
                <w:rFonts w:hint="eastAsia"/>
                <w:sz w:val="16"/>
                <w:szCs w:val="16"/>
              </w:rPr>
              <w:t>页，误差带未定义</w:t>
            </w:r>
          </w:p>
        </w:tc>
      </w:tr>
      <w:tr w14:paraId="769F3B4C">
        <w:tblPrEx>
          <w:tblCellMar>
            <w:top w:w="0" w:type="dxa"/>
            <w:left w:w="108" w:type="dxa"/>
            <w:bottom w:w="0" w:type="dxa"/>
            <w:right w:w="108" w:type="dxa"/>
          </w:tblCellMar>
        </w:tblPrEx>
        <w:trPr>
          <w:cantSplit/>
        </w:trPr>
        <w:tc>
          <w:tcPr>
            <w:tcW w:w="1622" w:type="dxa"/>
          </w:tcPr>
          <w:p w14:paraId="339CEDA7">
            <w:pPr>
              <w:pStyle w:val="26"/>
              <w:keepNext/>
              <w:numPr>
                <w:ilvl w:val="0"/>
                <w:numId w:val="0"/>
              </w:numPr>
              <w:snapToGrid w:val="0"/>
              <w:spacing w:before="0" w:after="0" w:line="240" w:lineRule="auto"/>
              <w:rPr>
                <w:sz w:val="16"/>
              </w:rPr>
            </w:pPr>
            <w:r>
              <w:rPr>
                <w:rFonts w:hint="eastAsia"/>
                <w:sz w:val="16"/>
                <w:szCs w:val="16"/>
              </w:rPr>
              <w:t>关节阶跃：TD</w:t>
            </w:r>
            <w:r>
              <w:rPr>
                <w:sz w:val="16"/>
                <w:szCs w:val="16"/>
              </w:rPr>
              <w:t xml:space="preserve"> </w:t>
            </w:r>
            <w:r>
              <w:rPr>
                <w:rFonts w:hint="eastAsia"/>
                <w:sz w:val="16"/>
                <w:szCs w:val="16"/>
              </w:rPr>
              <w:t>加串级</w:t>
            </w:r>
            <w:r>
              <w:rPr>
                <w:sz w:val="16"/>
                <w:szCs w:val="16"/>
              </w:rPr>
              <w:t xml:space="preserve"> PID</w:t>
            </w:r>
          </w:p>
        </w:tc>
        <w:tc>
          <w:tcPr>
            <w:tcW w:w="1622" w:type="dxa"/>
          </w:tcPr>
          <w:p w14:paraId="78BAC050">
            <w:pPr>
              <w:pStyle w:val="26"/>
              <w:keepNext/>
              <w:numPr>
                <w:ilvl w:val="0"/>
                <w:numId w:val="0"/>
              </w:numPr>
              <w:snapToGrid w:val="0"/>
              <w:spacing w:before="0" w:after="0" w:line="240" w:lineRule="auto"/>
              <w:rPr>
                <w:sz w:val="16"/>
              </w:rPr>
            </w:pPr>
            <w:r>
              <w:rPr>
                <w:rFonts w:hint="eastAsia"/>
                <w:sz w:val="16"/>
                <w:szCs w:val="16"/>
              </w:rPr>
              <w:t>约</w:t>
            </w:r>
            <w:r>
              <w:rPr>
                <w:sz w:val="16"/>
                <w:szCs w:val="16"/>
              </w:rPr>
              <w:t xml:space="preserve"> </w:t>
            </w:r>
            <m:oMath>
              <m:r>
                <m:rPr/>
                <w:rPr>
                  <w:rFonts w:ascii="Cambria Math" w:hAnsi="Cambria Math" w:eastAsia="Cambria Math" w:cs="Cambria Math"/>
                  <w:sz w:val="16"/>
                  <w:szCs w:val="16"/>
                </w:rPr>
                <m:t>0.51 </m:t>
              </m:r>
              <m:r>
                <m:rPr>
                  <m:sty m:val="p"/>
                </m:rPr>
                <w:rPr>
                  <w:rFonts w:ascii="Cambria Math" w:hAnsi="Cambria Math" w:eastAsia="Cambria Math" w:cs="Cambria Math"/>
                  <w:sz w:val="16"/>
                  <w:szCs w:val="16"/>
                </w:rPr>
                <m:t>s</m:t>
              </m:r>
            </m:oMath>
            <w:r>
              <w:rPr>
                <w:sz w:val="16"/>
                <w:szCs w:val="16"/>
              </w:rPr>
              <w:t xml:space="preserve"> </w:t>
            </w:r>
            <w:r>
              <w:rPr>
                <w:rFonts w:hint="eastAsia"/>
                <w:sz w:val="16"/>
                <w:szCs w:val="16"/>
              </w:rPr>
              <w:t>达到稳定</w:t>
            </w:r>
          </w:p>
        </w:tc>
        <w:tc>
          <w:tcPr>
            <w:tcW w:w="1622" w:type="dxa"/>
          </w:tcPr>
          <w:p w14:paraId="1FAE05E4">
            <w:pPr>
              <w:pStyle w:val="26"/>
              <w:keepNext/>
              <w:numPr>
                <w:ilvl w:val="0"/>
                <w:numId w:val="0"/>
              </w:numPr>
              <w:snapToGrid w:val="0"/>
              <w:spacing w:before="0" w:after="0" w:line="240" w:lineRule="auto"/>
              <w:rPr>
                <w:sz w:val="16"/>
              </w:rPr>
            </w:pPr>
            <w:r>
              <w:rPr>
                <w:rFonts w:hint="eastAsia"/>
                <w:sz w:val="16"/>
                <w:szCs w:val="16"/>
              </w:rPr>
              <w:t>同一页对比图，缺原始日志</w:t>
            </w:r>
          </w:p>
        </w:tc>
      </w:tr>
      <w:tr w14:paraId="2A23F24E">
        <w:trPr>
          <w:cantSplit/>
        </w:trPr>
        <w:tc>
          <w:tcPr>
            <w:tcW w:w="1622" w:type="dxa"/>
          </w:tcPr>
          <w:p w14:paraId="78C6C43F">
            <w:pPr>
              <w:pStyle w:val="26"/>
              <w:keepNext/>
              <w:numPr>
                <w:ilvl w:val="0"/>
                <w:numId w:val="0"/>
              </w:numPr>
              <w:snapToGrid w:val="0"/>
              <w:spacing w:before="0" w:after="0" w:line="240" w:lineRule="auto"/>
              <w:rPr>
                <w:sz w:val="16"/>
              </w:rPr>
            </w:pPr>
            <w:r>
              <w:rPr>
                <w:rFonts w:hint="eastAsia"/>
                <w:sz w:val="16"/>
                <w:szCs w:val="16"/>
              </w:rPr>
              <w:t>底盘台阶通过</w:t>
            </w:r>
          </w:p>
        </w:tc>
        <w:tc>
          <w:tcPr>
            <w:tcW w:w="1622" w:type="dxa"/>
          </w:tcPr>
          <w:p w14:paraId="693EEE2A">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200 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台阶</w:t>
            </w:r>
          </w:p>
        </w:tc>
        <w:tc>
          <w:tcPr>
            <w:tcW w:w="1622" w:type="dxa"/>
          </w:tcPr>
          <w:p w14:paraId="66C5061B">
            <w:pPr>
              <w:pStyle w:val="26"/>
              <w:keepNext/>
              <w:numPr>
                <w:ilvl w:val="0"/>
                <w:numId w:val="0"/>
              </w:numPr>
              <w:snapToGrid w:val="0"/>
              <w:spacing w:before="0" w:after="0" w:line="240" w:lineRule="auto"/>
              <w:rPr>
                <w:sz w:val="16"/>
              </w:rPr>
            </w:pPr>
            <w:r>
              <w:rPr>
                <w:rFonts w:hint="eastAsia"/>
                <w:sz w:val="16"/>
                <w:szCs w:val="16"/>
              </w:rPr>
              <w:t>仿真记录，非实机高度结论</w:t>
            </w:r>
          </w:p>
        </w:tc>
      </w:tr>
      <w:tr w14:paraId="20114E75">
        <w:tblPrEx>
          <w:tblCellMar>
            <w:top w:w="0" w:type="dxa"/>
            <w:left w:w="108" w:type="dxa"/>
            <w:bottom w:w="0" w:type="dxa"/>
            <w:right w:w="108" w:type="dxa"/>
          </w:tblCellMar>
        </w:tblPrEx>
        <w:trPr>
          <w:cantSplit/>
        </w:trPr>
        <w:tc>
          <w:tcPr>
            <w:tcW w:w="1622" w:type="dxa"/>
          </w:tcPr>
          <w:p w14:paraId="4755FF44">
            <w:pPr>
              <w:pStyle w:val="26"/>
              <w:keepNext/>
              <w:numPr>
                <w:ilvl w:val="0"/>
                <w:numId w:val="0"/>
              </w:numPr>
              <w:snapToGrid w:val="0"/>
              <w:spacing w:before="0" w:after="0" w:line="240" w:lineRule="auto"/>
              <w:rPr>
                <w:sz w:val="16"/>
              </w:rPr>
            </w:pPr>
            <w:r>
              <w:rPr>
                <w:rFonts w:hint="eastAsia"/>
                <w:sz w:val="16"/>
                <w:szCs w:val="16"/>
              </w:rPr>
              <w:t>底盘减速带通过</w:t>
            </w:r>
          </w:p>
        </w:tc>
        <w:tc>
          <w:tcPr>
            <w:tcW w:w="1622" w:type="dxa"/>
          </w:tcPr>
          <w:p w14:paraId="7ADCC276">
            <w:pPr>
              <w:pStyle w:val="26"/>
              <w:keepNext/>
              <w:numPr>
                <w:ilvl w:val="0"/>
                <w:numId w:val="0"/>
              </w:numPr>
              <w:snapToGrid w:val="0"/>
              <w:spacing w:before="0" w:after="0" w:line="240" w:lineRule="auto"/>
              <w:rPr>
                <w:sz w:val="16"/>
              </w:rPr>
            </w:pPr>
            <m:oMath>
              <m:r>
                <m:rPr/>
                <w:rPr>
                  <w:rFonts w:ascii="Cambria Math" w:hAnsi="Cambria Math" w:eastAsia="Cambria Math" w:cs="Cambria Math"/>
                  <w:sz w:val="16"/>
                  <w:szCs w:val="16"/>
                </w:rPr>
                <m:t>70 </m:t>
              </m:r>
              <m:r>
                <m:rPr>
                  <m:sty m:val="p"/>
                </m:rPr>
                <w:rPr>
                  <w:rFonts w:ascii="Cambria Math" w:hAnsi="Cambria Math" w:eastAsia="Cambria Math" w:cs="Cambria Math"/>
                  <w:sz w:val="16"/>
                  <w:szCs w:val="16"/>
                </w:rPr>
                <m:t>mm</m:t>
              </m:r>
            </m:oMath>
            <w:r>
              <w:rPr>
                <w:sz w:val="16"/>
                <w:szCs w:val="16"/>
              </w:rPr>
              <w:t xml:space="preserve"> </w:t>
            </w:r>
            <w:r>
              <w:rPr>
                <w:rFonts w:hint="eastAsia"/>
                <w:sz w:val="16"/>
                <w:szCs w:val="16"/>
              </w:rPr>
              <w:t>减速带</w:t>
            </w:r>
          </w:p>
        </w:tc>
        <w:tc>
          <w:tcPr>
            <w:tcW w:w="1622" w:type="dxa"/>
          </w:tcPr>
          <w:p w14:paraId="7B0AB155">
            <w:pPr>
              <w:pStyle w:val="26"/>
              <w:keepNext/>
              <w:numPr>
                <w:ilvl w:val="0"/>
                <w:numId w:val="0"/>
              </w:numPr>
              <w:snapToGrid w:val="0"/>
              <w:spacing w:before="0" w:after="0" w:line="240" w:lineRule="auto"/>
              <w:rPr>
                <w:sz w:val="16"/>
              </w:rPr>
            </w:pPr>
            <w:r>
              <w:rPr>
                <w:rFonts w:hint="eastAsia"/>
                <w:sz w:val="16"/>
                <w:szCs w:val="16"/>
              </w:rPr>
              <w:t>仿真记录，缺重复次数</w:t>
            </w:r>
          </w:p>
        </w:tc>
      </w:tr>
      <w:tr w14:paraId="332AE489">
        <w:tblPrEx>
          <w:tblCellMar>
            <w:top w:w="0" w:type="dxa"/>
            <w:left w:w="108" w:type="dxa"/>
            <w:bottom w:w="0" w:type="dxa"/>
            <w:right w:w="108" w:type="dxa"/>
          </w:tblCellMar>
        </w:tblPrEx>
        <w:trPr>
          <w:cantSplit/>
        </w:trPr>
        <w:tc>
          <w:tcPr>
            <w:tcW w:w="1622" w:type="dxa"/>
          </w:tcPr>
          <w:p w14:paraId="227A561F">
            <w:pPr>
              <w:pStyle w:val="26"/>
              <w:keepNext/>
              <w:numPr>
                <w:ilvl w:val="0"/>
                <w:numId w:val="0"/>
              </w:numPr>
              <w:snapToGrid w:val="0"/>
              <w:spacing w:before="0" w:after="0" w:line="240" w:lineRule="auto"/>
              <w:rPr>
                <w:sz w:val="16"/>
              </w:rPr>
            </w:pPr>
            <w:r>
              <w:rPr>
                <w:rFonts w:hint="eastAsia"/>
                <w:sz w:val="16"/>
                <w:szCs w:val="16"/>
              </w:rPr>
              <w:t>实机姿态与越障</w:t>
            </w:r>
          </w:p>
        </w:tc>
        <w:tc>
          <w:tcPr>
            <w:tcW w:w="1622" w:type="dxa"/>
          </w:tcPr>
          <w:p w14:paraId="42CA6944">
            <w:pPr>
              <w:pStyle w:val="26"/>
              <w:keepNext/>
              <w:numPr>
                <w:ilvl w:val="0"/>
                <w:numId w:val="0"/>
              </w:numPr>
              <w:snapToGrid w:val="0"/>
              <w:spacing w:before="0" w:after="0" w:line="240" w:lineRule="auto"/>
              <w:rPr>
                <w:sz w:val="16"/>
              </w:rPr>
            </w:pPr>
            <w:r>
              <w:rPr>
                <w:rFonts w:hint="eastAsia"/>
                <w:sz w:val="16"/>
                <w:szCs w:val="16"/>
              </w:rPr>
              <w:t>单边台阶、坡道、双级台阶演示</w:t>
            </w:r>
          </w:p>
        </w:tc>
        <w:tc>
          <w:tcPr>
            <w:tcW w:w="1622" w:type="dxa"/>
          </w:tcPr>
          <w:p w14:paraId="59900D16">
            <w:pPr>
              <w:pStyle w:val="26"/>
              <w:keepNext/>
              <w:numPr>
                <w:ilvl w:val="0"/>
                <w:numId w:val="0"/>
              </w:numPr>
              <w:snapToGrid w:val="0"/>
              <w:spacing w:before="0" w:after="0" w:line="240" w:lineRule="auto"/>
              <w:rPr>
                <w:sz w:val="16"/>
              </w:rPr>
            </w:pPr>
            <w:r>
              <w:rPr>
                <w:rFonts w:hint="eastAsia"/>
                <w:sz w:val="16"/>
                <w:szCs w:val="16"/>
              </w:rPr>
              <w:t>未给台阶高度及姿态误差</w:t>
            </w:r>
          </w:p>
        </w:tc>
      </w:tr>
      <w:tr w14:paraId="6247A5D3">
        <w:tblPrEx>
          <w:tblCellMar>
            <w:top w:w="0" w:type="dxa"/>
            <w:left w:w="108" w:type="dxa"/>
            <w:bottom w:w="0" w:type="dxa"/>
            <w:right w:w="108" w:type="dxa"/>
          </w:tblCellMar>
        </w:tblPrEx>
        <w:trPr>
          <w:cantSplit/>
        </w:trPr>
        <w:tc>
          <w:tcPr>
            <w:tcW w:w="1622" w:type="dxa"/>
          </w:tcPr>
          <w:p w14:paraId="18DC4194">
            <w:pPr>
              <w:pStyle w:val="26"/>
              <w:keepNext/>
              <w:numPr>
                <w:ilvl w:val="0"/>
                <w:numId w:val="0"/>
              </w:numPr>
              <w:snapToGrid w:val="0"/>
              <w:spacing w:before="0" w:after="0" w:line="240" w:lineRule="auto"/>
              <w:rPr>
                <w:sz w:val="16"/>
              </w:rPr>
            </w:pPr>
            <w:r>
              <w:rPr>
                <w:sz w:val="16"/>
                <w:szCs w:val="16"/>
              </w:rPr>
              <w:t xml:space="preserve">Delta </w:t>
            </w:r>
            <w:r>
              <w:rPr>
                <w:rFonts w:hint="eastAsia"/>
                <w:sz w:val="16"/>
                <w:szCs w:val="16"/>
              </w:rPr>
              <w:t>主端</w:t>
            </w:r>
          </w:p>
        </w:tc>
        <w:tc>
          <w:tcPr>
            <w:tcW w:w="1622" w:type="dxa"/>
          </w:tcPr>
          <w:p w14:paraId="0850C737">
            <w:pPr>
              <w:pStyle w:val="26"/>
              <w:keepNext/>
              <w:numPr>
                <w:ilvl w:val="0"/>
                <w:numId w:val="0"/>
              </w:numPr>
              <w:snapToGrid w:val="0"/>
              <w:spacing w:before="0" w:after="0" w:line="240" w:lineRule="auto"/>
              <w:rPr>
                <w:sz w:val="16"/>
              </w:rPr>
            </w:pPr>
            <w:r>
              <w:rPr>
                <w:rFonts w:hint="eastAsia"/>
                <w:sz w:val="16"/>
                <w:szCs w:val="16"/>
              </w:rPr>
              <w:t>正逆解验证、重力补偿演示</w:t>
            </w:r>
          </w:p>
        </w:tc>
        <w:tc>
          <w:tcPr>
            <w:tcW w:w="1622" w:type="dxa"/>
          </w:tcPr>
          <w:p w14:paraId="73108239">
            <w:pPr>
              <w:pStyle w:val="26"/>
              <w:keepNext/>
              <w:numPr>
                <w:ilvl w:val="0"/>
                <w:numId w:val="0"/>
              </w:numPr>
              <w:snapToGrid w:val="0"/>
              <w:spacing w:before="0" w:after="0" w:line="240" w:lineRule="auto"/>
              <w:rPr>
                <w:sz w:val="16"/>
              </w:rPr>
            </w:pPr>
            <w:r>
              <w:rPr>
                <w:rFonts w:hint="eastAsia"/>
                <w:sz w:val="16"/>
                <w:szCs w:val="16"/>
              </w:rPr>
              <w:t>缺位置误差与残余力数据</w:t>
            </w:r>
          </w:p>
        </w:tc>
      </w:tr>
      <w:tr w14:paraId="0352115F">
        <w:trPr>
          <w:cantSplit/>
        </w:trPr>
        <w:tc>
          <w:tcPr>
            <w:tcW w:w="1622" w:type="dxa"/>
          </w:tcPr>
          <w:p w14:paraId="30745B32">
            <w:pPr>
              <w:pStyle w:val="26"/>
              <w:keepNext/>
              <w:numPr>
                <w:ilvl w:val="0"/>
                <w:numId w:val="0"/>
              </w:numPr>
              <w:snapToGrid w:val="0"/>
              <w:spacing w:before="0" w:after="0" w:line="240" w:lineRule="auto"/>
              <w:rPr>
                <w:sz w:val="16"/>
              </w:rPr>
            </w:pPr>
            <w:r>
              <w:rPr>
                <w:rFonts w:hint="eastAsia"/>
                <w:sz w:val="16"/>
                <w:szCs w:val="16"/>
              </w:rPr>
              <w:t>机械臂重力悬停</w:t>
            </w:r>
          </w:p>
        </w:tc>
        <w:tc>
          <w:tcPr>
            <w:tcW w:w="1622" w:type="dxa"/>
          </w:tcPr>
          <w:p w14:paraId="5CB82496">
            <w:pPr>
              <w:pStyle w:val="26"/>
              <w:keepNext/>
              <w:numPr>
                <w:ilvl w:val="0"/>
                <w:numId w:val="0"/>
              </w:numPr>
              <w:snapToGrid w:val="0"/>
              <w:spacing w:before="0" w:after="0" w:line="240" w:lineRule="auto"/>
              <w:rPr>
                <w:sz w:val="16"/>
              </w:rPr>
            </w:pPr>
            <w:r>
              <w:rPr>
                <w:rFonts w:hint="eastAsia"/>
                <w:sz w:val="16"/>
                <w:szCs w:val="16"/>
              </w:rPr>
              <w:t>多姿态悬停演示</w:t>
            </w:r>
          </w:p>
        </w:tc>
        <w:tc>
          <w:tcPr>
            <w:tcW w:w="1622" w:type="dxa"/>
          </w:tcPr>
          <w:p w14:paraId="52A26092">
            <w:pPr>
              <w:pStyle w:val="26"/>
              <w:keepNext/>
              <w:numPr>
                <w:ilvl w:val="0"/>
                <w:numId w:val="0"/>
              </w:numPr>
              <w:snapToGrid w:val="0"/>
              <w:spacing w:before="0" w:after="0" w:line="240" w:lineRule="auto"/>
              <w:rPr>
                <w:sz w:val="16"/>
              </w:rPr>
            </w:pPr>
            <w:r>
              <w:rPr>
                <w:rFonts w:hint="eastAsia"/>
                <w:sz w:val="16"/>
                <w:szCs w:val="16"/>
              </w:rPr>
              <w:t>报告明确使用上一代平台</w:t>
            </w:r>
          </w:p>
        </w:tc>
      </w:tr>
      <w:tr w14:paraId="4B036037">
        <w:tblPrEx>
          <w:tblCellMar>
            <w:top w:w="0" w:type="dxa"/>
            <w:left w:w="108" w:type="dxa"/>
            <w:bottom w:w="0" w:type="dxa"/>
            <w:right w:w="108" w:type="dxa"/>
          </w:tblCellMar>
        </w:tblPrEx>
        <w:trPr>
          <w:cantSplit/>
        </w:trPr>
        <w:tc>
          <w:tcPr>
            <w:tcW w:w="1622" w:type="dxa"/>
          </w:tcPr>
          <w:p w14:paraId="01926F91">
            <w:pPr>
              <w:pStyle w:val="26"/>
              <w:keepNext w:val="0"/>
              <w:numPr>
                <w:ilvl w:val="0"/>
                <w:numId w:val="0"/>
              </w:numPr>
              <w:snapToGrid w:val="0"/>
              <w:spacing w:before="0" w:after="0" w:line="240" w:lineRule="auto"/>
              <w:rPr>
                <w:sz w:val="16"/>
              </w:rPr>
            </w:pPr>
            <w:r>
              <w:rPr>
                <w:rFonts w:hint="eastAsia"/>
                <w:sz w:val="16"/>
                <w:szCs w:val="16"/>
              </w:rPr>
              <w:t>整机能耗与末端精度</w:t>
            </w:r>
          </w:p>
        </w:tc>
        <w:tc>
          <w:tcPr>
            <w:tcW w:w="1622" w:type="dxa"/>
          </w:tcPr>
          <w:p w14:paraId="2EA1E5A7">
            <w:pPr>
              <w:pStyle w:val="26"/>
              <w:keepNext w:val="0"/>
              <w:numPr>
                <w:ilvl w:val="0"/>
                <w:numId w:val="0"/>
              </w:numPr>
              <w:snapToGrid w:val="0"/>
              <w:spacing w:before="0" w:after="0" w:line="240" w:lineRule="auto"/>
              <w:rPr>
                <w:sz w:val="16"/>
              </w:rPr>
            </w:pPr>
            <w:r>
              <w:rPr>
                <w:sz w:val="16"/>
                <w:szCs w:val="16"/>
              </w:rPr>
              <w:t>—</w:t>
            </w:r>
          </w:p>
        </w:tc>
        <w:tc>
          <w:tcPr>
            <w:tcW w:w="1622" w:type="dxa"/>
          </w:tcPr>
          <w:p w14:paraId="5A210D7A">
            <w:pPr>
              <w:pStyle w:val="26"/>
              <w:keepNext w:val="0"/>
              <w:numPr>
                <w:ilvl w:val="0"/>
                <w:numId w:val="0"/>
              </w:numPr>
              <w:snapToGrid w:val="0"/>
              <w:spacing w:before="0" w:after="0" w:line="240" w:lineRule="auto"/>
              <w:rPr>
                <w:sz w:val="16"/>
              </w:rPr>
            </w:pPr>
            <w:r>
              <w:rPr>
                <w:rFonts w:hint="eastAsia"/>
                <w:sz w:val="16"/>
                <w:szCs w:val="16"/>
              </w:rPr>
              <w:t>待补测</w:t>
            </w:r>
          </w:p>
        </w:tc>
      </w:tr>
    </w:tbl>
    <w:p w14:paraId="327B4D9E">
      <w:pPr>
        <w:pStyle w:val="7"/>
        <w:numPr>
          <w:ilvl w:val="0"/>
          <w:numId w:val="0"/>
        </w:numPr>
        <w:snapToGrid w:val="0"/>
        <w:rPr>
          <w:sz w:val="20"/>
        </w:rPr>
      </w:pPr>
      <w:r>
        <w:rPr>
          <w:rFonts w:hint="eastAsia"/>
          <w:sz w:val="20"/>
          <w:szCs w:val="20"/>
        </w:rPr>
        <w:t>按报告给出的稳定时间估算，TD</w:t>
      </w:r>
      <w:r>
        <w:rPr>
          <w:sz w:val="20"/>
          <w:szCs w:val="20"/>
        </w:rPr>
        <w:t xml:space="preserve"> </w:t>
      </w:r>
      <w:r>
        <w:rPr>
          <w:rFonts w:hint="eastAsia"/>
          <w:sz w:val="20"/>
          <w:szCs w:val="20"/>
        </w:rPr>
        <w:t>加串级</w:t>
      </w:r>
      <w:r>
        <w:rPr>
          <w:sz w:val="20"/>
          <w:szCs w:val="20"/>
        </w:rPr>
        <w:t xml:space="preserve"> PID </w:t>
      </w:r>
      <w:r>
        <w:rPr>
          <w:rFonts w:hint="eastAsia"/>
          <w:sz w:val="20"/>
          <w:szCs w:val="20"/>
        </w:rPr>
        <w:t>相对于单纯串级</w:t>
      </w:r>
      <w:r>
        <w:rPr>
          <w:sz w:val="20"/>
          <w:szCs w:val="20"/>
        </w:rPr>
        <w:t xml:space="preserve"> PID </w:t>
      </w:r>
      <w:r>
        <w:rPr>
          <w:rFonts w:hint="eastAsia"/>
          <w:sz w:val="20"/>
          <w:szCs w:val="20"/>
        </w:rPr>
        <w:t>的时间缩短比例为</w:t>
      </w:r>
    </w:p>
    <w:tbl>
      <w:tblPr>
        <w:tblStyle w:val="10"/>
        <w:tblW w:w="4866" w:type="dxa"/>
        <w:tblCaption w:val="Equation 3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3ED9C8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CC525B8">
            <w:pPr>
              <w:pStyle w:val="17"/>
              <w:numPr>
                <w:ilvl w:val="0"/>
                <w:numId w:val="0"/>
              </w:numPr>
              <w:snapToGrid w:val="0"/>
              <w:spacing w:before="100" w:after="100" w:line="240" w:lineRule="auto"/>
              <w:ind w:left="0" w:right="0" w:firstLine="0"/>
              <w:jc w:val="center"/>
              <w:rPr>
                <w:sz w:val="18"/>
              </w:rPr>
            </w:pPr>
            <m:oMathPara>
              <m:oMathParaPr>
                <m:jc m:val="center"/>
              </m:oMathParaPr>
              <m:oMath>
                <m:f>
                  <m:fPr/>
                  <m:num>
                    <m:r>
                      <m:rPr/>
                      <w:rPr>
                        <w:rFonts w:ascii="Cambria Math" w:hAnsi="Cambria Math" w:eastAsia="Cambria Math" w:cs="Cambria Math"/>
                        <w:sz w:val="18"/>
                        <w:szCs w:val="18"/>
                      </w:rPr>
                      <m:t>0.89</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0.51</m:t>
                    </m:r>
                  </m:num>
                  <m:den>
                    <m:r>
                      <m:rPr/>
                      <w:rPr>
                        <w:rFonts w:ascii="Cambria Math" w:hAnsi="Cambria Math" w:eastAsia="Cambria Math" w:cs="Cambria Math"/>
                        <w:sz w:val="18"/>
                        <w:szCs w:val="18"/>
                      </w:rPr>
                      <m:t>0.89</m:t>
                    </m:r>
                  </m:den>
                </m:f>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100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42.7</m:t>
                </m:r>
                <m:r>
                  <m:rPr>
                    <m:sty m:val="p"/>
                  </m:rPr>
                  <w:rPr>
                    <w:rFonts w:ascii="Cambria Math" w:hAnsi="Cambria Math" w:eastAsia="Cambria Math" w:cs="Cambria Math"/>
                    <w:sz w:val="18"/>
                    <w:szCs w:val="18"/>
                  </w:rPr>
                  <m:t>%.</m:t>
                </m:r>
              </m:oMath>
            </m:oMathPara>
          </w:p>
        </w:tc>
        <w:tc>
          <w:tcPr>
            <w:tcW w:w="390" w:type="dxa"/>
            <w:vAlign w:val="center"/>
          </w:tcPr>
          <w:p w14:paraId="31F2E847">
            <w:pPr>
              <w:numPr>
                <w:ilvl w:val="0"/>
                <w:numId w:val="0"/>
              </w:numPr>
              <w:snapToGrid w:val="0"/>
              <w:jc w:val="right"/>
              <w:rPr>
                <w:sz w:val="16"/>
              </w:rPr>
            </w:pPr>
            <w:r>
              <w:rPr>
                <w:sz w:val="16"/>
                <w:szCs w:val="16"/>
              </w:rPr>
              <w:t>(37)</w:t>
            </w:r>
          </w:p>
        </w:tc>
      </w:tr>
    </w:tbl>
    <w:p w14:paraId="059B1B3B">
      <w:pPr>
        <w:pStyle w:val="7"/>
        <w:numPr>
          <w:ilvl w:val="0"/>
          <w:numId w:val="0"/>
        </w:numPr>
        <w:snapToGrid w:val="0"/>
        <w:rPr>
          <w:sz w:val="20"/>
        </w:rPr>
      </w:pPr>
      <w:r>
        <w:rPr>
          <w:rFonts w:hint="eastAsia"/>
          <w:sz w:val="20"/>
          <w:szCs w:val="20"/>
        </w:rPr>
        <w:t>这一比例仅是报告两个近似读数的换算，支持该次测试中引入</w:t>
      </w:r>
      <w:r>
        <w:rPr>
          <w:sz w:val="20"/>
          <w:szCs w:val="20"/>
        </w:rPr>
        <w:t xml:space="preserve"> TD </w:t>
      </w:r>
      <w:r>
        <w:rPr>
          <w:rFonts w:hint="eastAsia"/>
          <w:sz w:val="20"/>
          <w:szCs w:val="20"/>
        </w:rPr>
        <w:t>后响应改善的观察。它不能替代相同误差带下的多次试验，也不能推出末端定位误差降低了相同比例。Fig.</w:t>
      </w:r>
      <w:r>
        <w:rPr>
          <w:sz w:val="20"/>
          <w:szCs w:val="20"/>
        </w:rPr>
        <w:t xml:space="preserve"> 8 </w:t>
      </w:r>
      <w:r>
        <w:rPr>
          <w:rFonts w:hint="eastAsia"/>
          <w:sz w:val="20"/>
          <w:szCs w:val="20"/>
        </w:rPr>
        <w:t>预留原始曲线重新导出的对比图。</w:t>
      </w:r>
    </w:p>
    <w:p w14:paraId="7D4CF53F">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2DC4DC32">
      <w:pPr>
        <w:pStyle w:val="18"/>
        <w:numPr>
          <w:ilvl w:val="0"/>
          <w:numId w:val="0"/>
        </w:numPr>
        <w:snapToGrid w:val="0"/>
      </w:pPr>
      <w:r>
        <w:rPr>
          <w:iCs/>
        </w:rPr>
        <w:t xml:space="preserve">Fig. 10. </w:t>
      </w:r>
      <w:r>
        <w:rPr>
          <w:rFonts w:hint="eastAsia"/>
          <w:iCs/>
        </w:rPr>
        <w:t>第一关节阶跃响应对比（留白；待提供带坐标、图例及误差带的清晰曲线）。</w:t>
      </w:r>
    </w:p>
    <w:p w14:paraId="1928D5FD">
      <w:pPr>
        <w:pStyle w:val="7"/>
        <w:numPr>
          <w:ilvl w:val="0"/>
          <w:numId w:val="0"/>
        </w:numPr>
        <w:snapToGrid w:val="0"/>
        <w:rPr>
          <w:sz w:val="20"/>
        </w:rPr>
      </w:pPr>
      <w:r>
        <w:rPr>
          <w:rFonts w:hint="eastAsia"/>
          <w:sz w:val="20"/>
          <w:szCs w:val="20"/>
        </w:rPr>
        <w:t>报告的版本记录显示，仿真阶段完成了静力学补偿、台阶与减速带通过，随后完成底盘装配、实机姿态调节及双级台阶动作。由于不同阶段的场景参数和负载条件不完整，本文将其作为功能进展记录，不将仿真中的障碍高度移植为实机指标。Fig.</w:t>
      </w:r>
      <w:r>
        <w:rPr>
          <w:sz w:val="20"/>
          <w:szCs w:val="20"/>
        </w:rPr>
        <w:t xml:space="preserve"> 9 </w:t>
      </w:r>
      <w:r>
        <w:rPr>
          <w:rFonts w:hint="eastAsia"/>
          <w:sz w:val="20"/>
          <w:szCs w:val="20"/>
        </w:rPr>
        <w:t>预留分别标注仿真与实机条件的连续画面。</w:t>
      </w:r>
    </w:p>
    <w:p w14:paraId="34B44258">
      <w:pPr>
        <w:keepNext/>
        <w:keepLines/>
        <w:numPr>
          <w:ilvl w:val="0"/>
          <w:numId w:val="0"/>
        </w:numPr>
        <w:pBdr>
          <w:top w:val="single" w:color="B0B0B0" w:sz="4" w:space="1"/>
          <w:left w:val="single" w:color="B0B0B0" w:sz="4" w:space="1"/>
          <w:bottom w:val="single" w:color="B0B0B0" w:sz="4" w:space="1"/>
          <w:right w:val="single" w:color="B0B0B0" w:sz="4" w:space="1"/>
        </w:pBdr>
        <w:snapToGrid w:val="0"/>
        <w:spacing w:before="0" w:after="0" w:line="1644" w:lineRule="exact"/>
      </w:pPr>
      <w:r>
        <w:t> </w:t>
      </w:r>
    </w:p>
    <w:p w14:paraId="4B10C1FB">
      <w:pPr>
        <w:pStyle w:val="18"/>
        <w:numPr>
          <w:ilvl w:val="0"/>
          <w:numId w:val="0"/>
        </w:numPr>
        <w:snapToGrid w:val="0"/>
      </w:pPr>
      <w:r>
        <w:rPr>
          <w:iCs/>
        </w:rPr>
        <w:t xml:space="preserve">Fig. 11. </w:t>
      </w:r>
      <w:r>
        <w:rPr>
          <w:rFonts w:hint="eastAsia"/>
          <w:iCs/>
        </w:rPr>
        <w:t>底盘越障与姿态调节的仿真、实机序列（留白，待补场景参数及连续画面）。</w:t>
      </w:r>
    </w:p>
    <w:p w14:paraId="0FDA2E8A">
      <w:pPr>
        <w:pStyle w:val="7"/>
        <w:numPr>
          <w:ilvl w:val="0"/>
          <w:numId w:val="0"/>
        </w:numPr>
        <w:snapToGrid w:val="0"/>
        <w:rPr>
          <w:sz w:val="20"/>
        </w:rPr>
      </w:pPr>
      <w:r>
        <w:rPr>
          <w:sz w:val="20"/>
          <w:szCs w:val="20"/>
        </w:rPr>
        <w:t xml:space="preserve">14 bit </w:t>
      </w:r>
      <w:r>
        <w:rPr>
          <w:rFonts w:hint="eastAsia"/>
          <w:sz w:val="20"/>
          <w:szCs w:val="20"/>
        </w:rPr>
        <w:t>编码器在整周编码假设下的角度量化间隔约为</w:t>
      </w:r>
      <w:r>
        <w:rPr>
          <w:sz w:val="20"/>
          <w:szCs w:val="20"/>
        </w:rPr>
        <w:t xml:space="preserve"> </w:t>
      </w:r>
      <m:oMath>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2</m:t>
            </m:r>
          </m:e>
          <m:sup>
            <m:r>
              <m:rPr/>
              <w:rPr>
                <w:rFonts w:ascii="Cambria Math" w:hAnsi="Cambria Math" w:eastAsia="Cambria Math" w:cs="Cambria Math"/>
                <w:sz w:val="20"/>
                <w:szCs w:val="20"/>
              </w:rPr>
              <m:t>14</m:t>
            </m:r>
          </m:sup>
        </m:s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3.83</m:t>
        </m:r>
        <m:r>
          <m:rPr>
            <m:sty m:val="p"/>
          </m:rPr>
          <w:rPr>
            <w:rFonts w:ascii="Cambria Math" w:hAnsi="Cambria Math" w:eastAsia="Cambria Math" w:cs="Cambria Math"/>
            <w:sz w:val="20"/>
            <w:szCs w:val="20"/>
          </w:rPr>
          <m:t>×</m:t>
        </m:r>
        <m:sSup>
          <m:sSupPr/>
          <m:e>
            <m:r>
              <m:rPr/>
              <w:rPr>
                <w:rFonts w:ascii="Cambria Math" w:hAnsi="Cambria Math" w:eastAsia="Cambria Math" w:cs="Cambria Math"/>
                <w:sz w:val="20"/>
                <w:szCs w:val="20"/>
              </w:rPr>
              <m:t>10</m:t>
            </m:r>
          </m:e>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sup>
        </m:sSup>
        <m:r>
          <m:rPr/>
          <w:rPr>
            <w:rFonts w:ascii="Cambria Math" w:hAnsi="Cambria Math" w:eastAsia="Cambria Math" w:cs="Cambria Math"/>
            <w:sz w:val="20"/>
            <w:szCs w:val="20"/>
          </w:rPr>
          <m:t> </m:t>
        </m:r>
        <m:r>
          <m:rPr>
            <m:sty m:val="p"/>
          </m:rPr>
          <w:rPr>
            <w:rFonts w:ascii="Cambria Math" w:hAnsi="Cambria Math" w:eastAsia="Cambria Math" w:cs="Cambria Math"/>
            <w:sz w:val="20"/>
            <w:szCs w:val="20"/>
          </w:rPr>
          <m:t>rad</m:t>
        </m:r>
      </m:oMath>
      <w:r>
        <w:rPr>
          <w:rFonts w:hint="eastAsia"/>
          <w:sz w:val="20"/>
          <w:szCs w:val="20"/>
        </w:rPr>
        <w:t>，即约</w:t>
      </w:r>
      <w:r>
        <w:rPr>
          <w:sz w:val="20"/>
          <w:szCs w:val="20"/>
        </w:rPr>
        <w:t xml:space="preserve"> </w:t>
      </w:r>
      <m:oMath>
        <m:sSup>
          <m:sSupPr/>
          <m:e>
            <m:r>
              <m:rPr/>
              <w:rPr>
                <w:rFonts w:ascii="Cambria Math" w:hAnsi="Cambria Math" w:eastAsia="Cambria Math" w:cs="Cambria Math"/>
                <w:sz w:val="20"/>
                <w:szCs w:val="20"/>
              </w:rPr>
              <m:t>0.022</m:t>
            </m:r>
          </m:e>
          <m:sup>
            <m:r>
              <m:rPr>
                <m:sty m:val="p"/>
              </m:rPr>
              <w:rPr>
                <w:rFonts w:ascii="Cambria Math" w:hAnsi="Cambria Math" w:eastAsia="Cambria Math" w:cs="Cambria Math"/>
                <w:sz w:val="20"/>
                <w:szCs w:val="20"/>
              </w:rPr>
              <m:t>∘</m:t>
            </m:r>
          </m:sup>
        </m:sSup>
      </m:oMath>
      <w:r>
        <w:rPr>
          <w:rFonts w:hint="eastAsia"/>
          <w:sz w:val="20"/>
          <w:szCs w:val="20"/>
        </w:rPr>
        <w:t>。这是理想输出量化间隔，不是编码器绝对精度，更不是主从末端精度。连杆尺寸误差、安装偏置、传动间隙、雅可比条件数和无线延迟共同影响实际结果。</w:t>
      </w:r>
    </w:p>
    <w:bookmarkEnd w:id="22"/>
    <w:p w14:paraId="19A4B578">
      <w:pPr>
        <w:pStyle w:val="3"/>
        <w:numPr>
          <w:ilvl w:val="1"/>
          <w:numId w:val="0"/>
        </w:numPr>
        <w:snapToGrid w:val="0"/>
      </w:pPr>
      <w:bookmarkStart w:id="23" w:name="d.-讨论discussion"/>
      <w:r>
        <w:t xml:space="preserve">D. </w:t>
      </w:r>
      <w:r>
        <w:rPr>
          <w:rFonts w:hint="eastAsia"/>
        </w:rPr>
        <w:t>讨论（Discussion）</w:t>
      </w:r>
    </w:p>
    <w:p w14:paraId="249065DF">
      <w:pPr>
        <w:pStyle w:val="7"/>
        <w:numPr>
          <w:ilvl w:val="0"/>
          <w:numId w:val="0"/>
        </w:numPr>
        <w:snapToGrid w:val="0"/>
        <w:rPr>
          <w:sz w:val="20"/>
        </w:rPr>
      </w:pPr>
      <w:r>
        <w:rPr>
          <w:rFonts w:hint="eastAsia"/>
          <w:sz w:val="20"/>
          <w:szCs w:val="20"/>
        </w:rPr>
        <w:t>结构层面，省去髋部滚转执行器并将腿部电机集中在髋部，有助于控制机构数量和运动部件惯量；麦克纳姆轮使平面侧移无需额外转向机构。但是，被动辊子的滚动阻力、接触面积和地面条件会影响通过性与效率，不能仅依据自由度减少推断整机节能。</w:t>
      </w:r>
    </w:p>
    <w:p w14:paraId="6675722A">
      <w:pPr>
        <w:pStyle w:val="7"/>
        <w:numPr>
          <w:ilvl w:val="0"/>
          <w:numId w:val="0"/>
        </w:numPr>
        <w:snapToGrid w:val="0"/>
        <w:rPr>
          <w:sz w:val="20"/>
        </w:rPr>
      </w:pPr>
      <w:r>
        <w:rPr>
          <w:rFonts w:hint="eastAsia"/>
          <w:sz w:val="20"/>
          <w:szCs w:val="20"/>
        </w:rPr>
        <w:t>控制层面，解析运动学和小规模力分配便于嵌入式实现，但报告没有给出单周期耗时和处理器占用率，故“低硬件依赖”目前主要体现为所用计算结构与部署方式。最小范数接触力未包含完整摩擦与执行器约束，且单刚体近似无法充分描述机械臂快速摆动、重载抓取和跳跃落地过程，需要通过约束分配、参数辨识和接触状态处理进一步完善。</w:t>
      </w:r>
    </w:p>
    <w:p w14:paraId="4B9DBE4C">
      <w:pPr>
        <w:pStyle w:val="7"/>
        <w:numPr>
          <w:ilvl w:val="0"/>
          <w:numId w:val="0"/>
        </w:numPr>
        <w:snapToGrid w:val="0"/>
        <w:rPr>
          <w:sz w:val="20"/>
        </w:rPr>
      </w:pPr>
      <w:r>
        <w:rPr>
          <w:rFonts w:hint="eastAsia"/>
          <w:sz w:val="20"/>
          <w:szCs w:val="20"/>
        </w:rPr>
        <w:t>遥操作层面，平移与姿态分离输入降低了操作手直接协调六个从端关节的负担。主端重力补偿及</w:t>
      </w:r>
      <w:r>
        <w:rPr>
          <w:sz w:val="20"/>
          <w:szCs w:val="20"/>
        </w:rPr>
        <w:t xml:space="preserve"> TD </w:t>
      </w:r>
      <w:r>
        <w:rPr>
          <w:rFonts w:hint="eastAsia"/>
          <w:sz w:val="20"/>
          <w:szCs w:val="20"/>
        </w:rPr>
        <w:t>平滑有助于改善操作过程，但“更直观”“更精细”仍需通过用户任务、位置误差及延迟测量评价。现有资料不支持与</w:t>
      </w:r>
      <w:r>
        <w:rPr>
          <w:sz w:val="20"/>
          <w:szCs w:val="20"/>
        </w:rPr>
        <w:t xml:space="preserve"> [1]–[3] </w:t>
      </w:r>
      <w:r>
        <w:rPr>
          <w:rFonts w:hint="eastAsia"/>
          <w:sz w:val="20"/>
          <w:szCs w:val="20"/>
        </w:rPr>
        <w:t>的跨平台性能排名，也不足以宣称已实现任意地形下的高精度、低能耗移动操作。</w:t>
      </w:r>
    </w:p>
    <w:bookmarkEnd w:id="19"/>
    <w:bookmarkEnd w:id="23"/>
    <w:p w14:paraId="3A278C2B">
      <w:pPr>
        <w:pStyle w:val="2"/>
        <w:numPr>
          <w:ilvl w:val="0"/>
          <w:numId w:val="0"/>
        </w:numPr>
        <w:snapToGrid w:val="0"/>
      </w:pPr>
      <w:bookmarkStart w:id="24" w:name="v.-结论conclusion"/>
      <w:r>
        <w:t xml:space="preserve">V. </w:t>
      </w:r>
      <w:r>
        <w:rPr>
          <w:rFonts w:hint="eastAsia"/>
        </w:rPr>
        <w:t>结论（Conclusion）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整理并建立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已有报告支持模块级功能实现，并记录了关节阶跃响应改善及底盘越障、姿态调节的阶段性成果。当前主要限制是缺少统一的原始实验日志、完整标定参数以及整机能耗和末端精度测量。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70E0EE5E">
      <w:pPr>
        <w:pStyle w:val="22"/>
        <w:numPr>
          <w:ilvl w:val="0"/>
          <w:numId w:val="0"/>
        </w:numPr>
        <w:snapToGrid w:val="0"/>
      </w:pPr>
      <w:r>
        <w:t>[1] Z. Wang et al., “Arm-constrained curriculum learning for loco-manipulation of the wheel-legged robot,” arXiv:2403.16535v2, 2024. [Online]. Available: https://arxiv.org/abs/2403.16535v2</w:t>
      </w:r>
    </w:p>
    <w:p w14:paraId="55A4F64A">
      <w:pPr>
        <w:pStyle w:val="22"/>
        <w:numPr>
          <w:ilvl w:val="0"/>
          <w:numId w:val="0"/>
        </w:numPr>
        <w:snapToGrid w:val="0"/>
      </w:pPr>
      <w:r>
        <w:t xml:space="preserve">[2] R. Zhang, H. Du, P. Qiu, Y. Yang, and W. Song, “Motion control of a hybrid self-reconfigurable wheel-legged dual-arm robot,” in </w:t>
      </w:r>
      <w:r>
        <w:rPr>
          <w:i/>
          <w:iCs/>
        </w:rPr>
        <w:t>Proc. IEEE/RSJ Int. Conf. Intell. Robots Syst. (IROS)</w:t>
      </w:r>
      <w:r>
        <w:t>, 2025, pp. 16483–16488, doi: 10.1109/IROS60139.2025.11246212.</w:t>
      </w:r>
    </w:p>
    <w:p w14:paraId="62006706">
      <w:pPr>
        <w:pStyle w:val="22"/>
        <w:numPr>
          <w:ilvl w:val="0"/>
          <w:numId w:val="0"/>
        </w:numPr>
        <w:snapToGrid w:val="0"/>
      </w:pPr>
      <w:r>
        <w:t xml:space="preserve">[3] C. Cruz Ulloa, D. Domínguez, A. Barrientos, and J. del Cerro, “Design and mixed-reality teleoperation of a quadruped-manipulator robot for SAR tasks,” in </w:t>
      </w:r>
      <w:r>
        <w:rPr>
          <w:i/>
          <w:iCs/>
        </w:rPr>
        <w:t>Robotics in Natural Settings</w:t>
      </w:r>
      <w:r>
        <w:t>, Lecture Notes in Networks and Systems, vol. 530. Springer, 2023, pp. 181–194, doi: 10.1007/978-3-031-15226-9_19.</w:t>
      </w:r>
    </w:p>
    <w:p w14:paraId="5EEC4E2D">
      <w:pPr>
        <w:pStyle w:val="22"/>
        <w:numPr>
          <w:ilvl w:val="0"/>
          <w:numId w:val="0"/>
        </w:numPr>
        <w:snapToGrid w:val="0"/>
      </w:pPr>
      <w:r>
        <w:t xml:space="preserve">[4] </w:t>
      </w:r>
      <w:r>
        <w:rPr>
          <w:rFonts w:hint="eastAsia"/>
        </w:rPr>
        <w:t>赵苏亚，“机器人、遥操作控制器开源技术报告，”技术报告，2026，未正式出版，仓库文件：2024311101-赵苏亚-机器人、遥操作控制器开源技术报告.pdf。</w:t>
      </w:r>
    </w:p>
    <w:p w14:paraId="4260D61B">
      <w:pPr>
        <w:pStyle w:val="22"/>
        <w:numPr>
          <w:ilvl w:val="0"/>
          <w:numId w:val="0"/>
        </w:numPr>
        <w:snapToGrid w:val="0"/>
      </w:pPr>
      <w:r>
        <w:t xml:space="preserve">[5]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D7BC468"/>
    <w:rsid w:val="7F7C0272"/>
    <w:rsid w:val="7FFB82DC"/>
    <w:rsid w:val="7FFD2014"/>
    <w:rsid w:val="C7EFD916"/>
    <w:rsid w:val="D1E9525F"/>
    <w:rsid w:val="DE3FE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26</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2026-10-08T02:20:00Z</dcterms:created>
  <dc:creator>赵苏亚</dc:creator>
  <cp:lastModifiedBy>赵苏亚</cp:lastModifiedBy>
  <dcterms:modified xsi:type="dcterms:W3CDTF">2026-10-07T11:49:21Z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