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5" descr="基于底盘立体构型的整机质心与四轮接触力示意图"/>
                    <pic:cNvPicPr>
                      <a:picLocks noChangeAspect="1"/>
                    </pic:cNvPicPr>
                  </pic:nvPicPr>
                  <pic:blipFill>
                    <a:blip r:embed="rId8"/>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t>
      </w:r>
      <w:r>
        <w:rPr>
          <w:rFonts w:hint="eastAsia"/>
          <w:sz w:val="20"/>
          <w:szCs w:val="20"/>
        </w:rPr>
        <w:t>[4]。闭环控制结构如 Fig. 6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，再由单腿逆解得到关节目标。实际坐标安装方向应据此标定；高度、关节角及输出增量均需限幅，饱和时停止向不可达方向累加。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6" descr="底盘姿态控制器闭环方框图"/>
                    <pic:cNvPicPr>
                      <a:picLocks noChangeAspect="1"/>
                    </pic:cNvPicPr>
                  </pic:nvPicPr>
                  <pic:blipFill>
                    <a:blip r:embed="rId9"/>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6.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7"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7" descr="机械臂侧视图上的关节坐标系定义"/>
                    <pic:cNvPicPr>
                      <a:picLocks noChangeAspect="1"/>
                    </pic:cNvPicPr>
                  </pic:nvPicPr>
                  <pic:blipFill>
                    <a:blip r:embed="rId10"/>
                    <a:stretch>
                      <a:fillRect/>
                    </a:stretch>
                  </pic:blipFill>
                  <pic:spPr>
                    <a:xfrm>
                      <a:off x="0" y="0"/>
                      <a:ext cx="3060000" cy="1020000"/>
                    </a:xfrm>
                    <a:prstGeom prst="rect">
                      <a:avLst/>
                    </a:prstGeom>
                  </pic:spPr>
                </pic:pic>
              </a:graphicData>
            </a:graphic>
          </wp:inline>
        </w:drawing>
      </w:r>
    </w:p>
    <w:p w14:paraId="1428A8F6">
      <w:pPr>
        <w:pStyle w:val="18"/>
        <w:numPr>
          <w:ilvl w:val="0"/>
          <w:numId w:val="0"/>
        </w:numPr>
        <w:snapToGrid w:val="0"/>
      </w:pPr>
      <w:r>
        <w:rPr>
          <w:iCs/>
        </w:rPr>
        <w:t xml:space="preserve">Fig. 7. </w:t>
      </w:r>
      <w:r>
        <w:rPr>
          <w:rFonts w:hint="eastAsia"/>
          <w:iCs/>
        </w:rPr>
        <w:t xml:space="preserve">六轴机械臂关节坐标系在侧视图上的对应位置。坐标系 2、3 的原点重合，坐标系 4、5 </w:t>
      </w:r>
      <w:r>
        <w:rPr>
          <w:rFonts w:hint="eastAsia"/>
          <w:iCs/>
          <w:lang w:eastAsia="zh-CN"/>
        </w:rPr>
        <w:t>的</w:t>
      </w:r>
      <w:r>
        <w:rPr>
          <w:rFonts w:hint="eastAsia"/>
          <w:iCs/>
        </w:rPr>
        <w:t>原点重合；</w:t>
      </w:r>
    </w:p>
    <w:p w14:paraId="2743674C">
      <w:pPr>
        <w:pStyle w:val="7"/>
        <w:numPr>
          <w:ilvl w:val="0"/>
          <w:numId w:val="0"/>
        </w:numPr>
        <w:snapToGrid w:val="0"/>
        <w:rPr>
          <w:sz w:val="20"/>
        </w:rPr>
      </w:pPr>
      <w:r>
        <w:rPr>
          <w:rFonts w:hint="eastAsia"/>
          <w:sz w:val="20"/>
          <w:szCs w:val="20"/>
          <w:lang w:eastAsia="zh-CN"/>
        </w:rPr>
        <w:t>称坐标系</w:t>
      </w:r>
      <w:r>
        <w:rPr>
          <w:rFonts w:hint="eastAsia"/>
          <w:sz w:val="20"/>
          <w:szCs w:val="20"/>
          <w:lang w:val="en-US" w:eastAsia="zh-CN"/>
        </w:rPr>
        <w:t>4、5的原点为腕心，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bookmarkStart w:id="27" w:name="_GoBack"/>
      <w:bookmarkEnd w:id="27"/>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主端碳纤维板承担主要结构载荷，手柄与部分平台采用三维打印件，并设置位置重置按钮</w:t>
      </w:r>
      <w:r>
        <w:rPr>
          <w:sz w:val="20"/>
          <w:szCs w:val="20"/>
        </w:rPr>
        <w:t xml:space="preserve"> [5]。Fig. 8 </w:t>
      </w:r>
      <w:r>
        <w:rPr>
          <w:rFonts w:hint="eastAsia"/>
          <w:sz w:val="20"/>
          <w:szCs w:val="20"/>
        </w:rPr>
        <w:t>预留几何模型和手柄结构，几何参数列于</w:t>
      </w:r>
      <w:r>
        <w:rPr>
          <w:sz w:val="20"/>
          <w:szCs w:val="20"/>
        </w:rPr>
        <w:t xml:space="preserve"> TABLE II。</w:t>
      </w:r>
    </w:p>
    <w:p w14:paraId="34E67E34">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6B1D5471">
      <w:pPr>
        <w:pStyle w:val="18"/>
        <w:numPr>
          <w:ilvl w:val="0"/>
          <w:numId w:val="0"/>
        </w:numPr>
        <w:snapToGrid w:val="0"/>
      </w:pPr>
      <w:r>
        <w:rPr>
          <w:iCs/>
        </w:rPr>
        <w:t xml:space="preserve">Fig. 8. Delta </w:t>
      </w:r>
      <w:r>
        <w:rPr>
          <w:rFonts w:hint="eastAsia"/>
          <w:iCs/>
        </w:rPr>
        <w:t>三支链几何、动平台及三编码器姿态手柄（留白，待补图）。</w:t>
      </w:r>
    </w:p>
    <w:p w14:paraId="416DC73D">
      <w:pPr>
        <w:pStyle w:val="7"/>
        <w:numPr>
          <w:ilvl w:val="0"/>
          <w:numId w:val="0"/>
        </w:numPr>
        <w:snapToGrid w:val="0"/>
        <w:rPr>
          <w:sz w:val="20"/>
        </w:rPr>
      </w:pPr>
      <w:r>
        <w:rPr>
          <w:rFonts w:hint="eastAsia"/>
          <w:sz w:val="20"/>
          <w:szCs w:val="20"/>
        </w:rPr>
        <w:t>静平台坐标系</w:t>
      </w:r>
      <w:r>
        <w:rPr>
          <w:sz w:val="20"/>
          <w:szCs w:val="20"/>
        </w:rPr>
        <w:t xml:space="preserve"> </w:t>
      </w:r>
      <m:oMath>
        <m:r>
          <m:rPr>
            <m:sty m:val="p"/>
          </m:rPr>
          <w:rPr>
            <w:rFonts w:ascii="Cambria Math" w:hAnsi="Cambria Math" w:eastAsia="Cambria Math" w:cs="Cambria Math"/>
            <w:sz w:val="20"/>
            <w:szCs w:val="20"/>
          </w:rPr>
          <m:t>{D}</m:t>
        </m:r>
      </m:oMath>
      <w:r>
        <w:rPr>
          <w:sz w:val="20"/>
          <w:szCs w:val="20"/>
        </w:rPr>
        <w:t xml:space="preserve"> </w:t>
      </w:r>
      <w:r>
        <w:rPr>
          <w:rFonts w:hint="eastAsia"/>
          <w:sz w:val="20"/>
          <w:szCs w:val="20"/>
        </w:rPr>
        <w:t>的</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轴向上，工作侧为</w:t>
      </w:r>
      <w:r>
        <w:rPr>
          <w:sz w:val="20"/>
          <w:szCs w:val="20"/>
        </w:rPr>
        <w:t xml:space="preserve"> </w:t>
      </w:r>
      <m:oMath>
        <m:r>
          <m:rPr/>
          <w:rPr>
            <w:rFonts w:ascii="Cambria Math" w:hAnsi="Cambria Math" w:eastAsia="Cambria Math" w:cs="Cambria Math"/>
            <w:sz w:val="20"/>
            <w:szCs w:val="20"/>
          </w:rPr>
          <m:t>z</m:t>
        </m:r>
        <m:r>
          <m:rPr>
            <m:sty m:val="p"/>
          </m:rPr>
          <w:rPr>
            <w:rFonts w:ascii="Cambria Math" w:hAnsi="Cambria Math" w:eastAsia="Cambria Math" w:cs="Cambria Math"/>
            <w:sz w:val="20"/>
            <w:szCs w:val="20"/>
          </w:rPr>
          <m:t>&lt;</m:t>
        </m:r>
        <m:r>
          <m:rPr/>
          <w:rPr>
            <w:rFonts w:ascii="Cambria Math" w:hAnsi="Cambria Math" w:eastAsia="Cambria Math" w:cs="Cambria Math"/>
            <w:sz w:val="20"/>
            <w:szCs w:val="20"/>
          </w:rPr>
          <m:t>0</m:t>
        </m:r>
      </m:oMath>
      <w:r>
        <w:rPr>
          <w:rFonts w:hint="eastAsia"/>
          <w:sz w:val="20"/>
          <w:szCs w:val="20"/>
        </w:rPr>
        <w:t>。静、动平台连接点分布圆半径分别记为</w:t>
      </w:r>
      <w:r>
        <w:rPr>
          <w:sz w:val="20"/>
          <w:szCs w:val="20"/>
        </w:rPr>
        <w:t xml:space="preserve">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，主动臂和从动臂长度为</w:t>
      </w:r>
      <w:r>
        <w:rPr>
          <w:sz w:val="20"/>
          <w:szCs w:val="20"/>
        </w:rPr>
        <w:t xml:space="preserve">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。三支链方位角为</w:t>
      </w:r>
      <w:r>
        <w:rPr>
          <w:sz w:val="20"/>
          <w:szCs w:val="20"/>
        </w:rPr>
        <w:t xml:space="preserve"> </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，径向单位矢量为</w:t>
      </w:r>
      <w:r>
        <w:rPr>
          <w:sz w:val="20"/>
          <w:szCs w:val="20"/>
        </w:rPr>
        <w:t xml:space="preserve">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。主动臂角</w:t>
      </w:r>
      <w:r>
        <w:rPr>
          <w:sz w:val="20"/>
          <w:szCs w:val="20"/>
        </w:rPr>
        <w:t xml:space="preserve">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从水平向外方向起算，朝负</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工作侧转动为正。</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s</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oMath>
      <w:r>
        <w:rPr>
          <w:rFonts w:hint="eastAsia"/>
          <w:sz w:val="20"/>
          <w:szCs w:val="20"/>
        </w:rPr>
        <w:t>。对支链约束求导，定义</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2</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3</m:t>
                                  </m:r>
                                </m:sub>
                                <m:sup>
                                  <m:r>
                                    <m:rPr>
                                      <m:sty m:val="p"/>
                                    </m:rPr>
                                    <w:rPr>
                                      <w:rFonts w:ascii="Cambria Math" w:hAnsi="Cambria Math" w:eastAsia="Cambria Math" w:cs="Cambria Math"/>
                                      <w:sz w:val="18"/>
                                      <w:szCs w:val="18"/>
                                    </w:rPr>
                                    <m:t>T</m:t>
                                  </m:r>
                                </m:sup>
                              </m:sSubSup>
                            </m:e>
                          </m:mr>
                        </m:m>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=diag</m:t>
                    </m:r>
                    <m:r>
                      <m:rPr/>
                      <w:rPr>
                        <w:rFonts w:ascii="Cambria Math" w:hAnsi="Cambria Math" w:eastAsia="Cambria Math" w:cs="Cambria Math"/>
                        <w:sz w:val="18"/>
                        <w:szCs w:val="18"/>
                      </w:rPr>
                      <m:t>​</m:t>
                    </m:r>
                    <m:sSubSup>
                      <m:sSubSupPr/>
                      <m:e>
                        <m:d>
                          <m:dPr>
                            <m:sepChr m:val=""/>
                          </m:dP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num>
                              <m:den>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den>
                            </m:f>
                          </m:e>
                        </m:d>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3</m:t>
                        </m:r>
                      </m:sup>
                    </m:sSubSup>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bSup>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e>
                </m:eqAr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此表达式要求</w:t>
      </w:r>
      <w:r>
        <w:rPr>
          <w:sz w:val="20"/>
          <w:szCs w:val="20"/>
        </w:rPr>
        <w:t xml:space="preserve"> </w:t>
      </w:r>
      <m:oMath>
        <m:sSub>
          <m:sSubPr/>
          <m:e>
            <m:r>
              <m:rPr>
                <m:sty m:val="b"/>
              </m:rPr>
              <w:rPr>
                <w:rFonts w:ascii="Cambria Math" w:hAnsi="Cambria Math" w:eastAsia="Cambria Math" w:cs="Cambria Math"/>
                <w:sz w:val="20"/>
                <w:szCs w:val="20"/>
              </w:rPr>
              <m:t>S</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可逆。静力学采用虚功原理：若机构对动平台提供的期望支撑力为</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，对应电机广义力矩为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将动平台与手柄等效质量记为</w:t>
      </w:r>
      <w:r>
        <w:rPr>
          <w:sz w:val="20"/>
          <w:szCs w:val="20"/>
        </w:rPr>
        <w:t xml:space="preserve">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，重力补偿取</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，必要时另加各支链重力项。该方法用于降低手持机构的静态负担。摩擦、参数误差和机构奇异会影响补偿效果，近奇异区域应限制力矩和操作范围。报告提供了补偿效果演示，尚未提供残余手持力的测量。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(36)</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为采样周期（s），</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(37)</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9.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10.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 w:name="华文中宋">
    <w:panose1 w:val="02010600040101010101"/>
    <w:charset w:val="86"/>
    <w:family w:val="auto"/>
    <w:pitch w:val="default"/>
    <w:sig w:usb0="00000287" w:usb1="080F0000" w:usb2="00000000" w:usb3="00000000" w:csb0="0004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6EFF9550"/>
    <w:rsid w:val="7D7BC468"/>
    <w:rsid w:val="7F7C0272"/>
    <w:rsid w:val="7FFB82DC"/>
    <w:rsid w:val="7FFD2014"/>
    <w:rsid w:val="C7EFD9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8</Pages>
  <Words>2151</Words>
  <Characters>12267</Characters>
  <Lines>102</Lines>
  <Paragraphs>28</Paragraphs>
  <TotalTime>2</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2026-10-07T10:20:00Z</dcterms:created>
  <dc:creator>赵苏亚</dc:creator>
  <cp:lastModifiedBy>赵苏亚</cp:lastModifiedBy>
  <dcterms:modified xsi:type="dcterms:W3CDTF">2026-10-06T21:28:18Z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