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The framework connects mechanism design, kinematic modeling, model-based feedforward, and joint control to support system design and implementation. Physical demonstrations illustrate system execution.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Prior work includes wheel–leg coordination using rolling constraints and whole-body control [1], [2], and Mecanum quadrupeds for planar motion [3]. Mobile-manipulation studies address arm-constrained learning, cross-configuration control, and whole-body optimization [4]–[6]. Teleoperation has used mixed reality [7] and Delta-based six-degree-of-freedom masters [8]. Task-specific chassis–arm coordination and heterogeneous pose mapping remain open needs.</w:t>
      </w:r>
    </w:p>
    <w:p ns2:paraId="17D6BEE5"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This paper presents an integrated Mecanum-wheeled quadrupedal mobile manipulator and heterogeneous teleoperation architecture. Its control system coordinates chassis locomotion, arm manipulation, and Delta-master input. Grasping and step-climbing demonstrations evaluate the integrated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YSpec="bottom"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ns5:graphicFrameLocks noChangeAspect="1"/>
                        </wp: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ns5:graphicFrameLocks noChangeAspect="1"/>
                        </wp: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orange/cyan mark the arm/chassis; {s}, {b}, {leg}, and {0} denote the inertial frame, base center, illustrated hip, and arm base. Forward is rightward. (b) Teleoperation master: purple marks the controller; light blue/orange mark the Delta mechanism/three-axis handle. {D} is centered at O on the fixed platform; P marks the moving-platform center. All frames are right-handed.</w:t>
            </w:r>
          </w:p>
        </w:tc>
      </w:tr>
    </w:tbl>
    <w:p>
      <w:pPr>
        <w:spacing w:before="0" w:after="0" w:line="20" w:lineRule="exact"/>
        <w:ind w:firstLine="0"/>
        <w:rPr>
          <w:sz w:val="2"/>
        </w:rPr>
      </w:pPr>
    </w:p>
    <w:p ns2:paraId="5167A082"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p ns2:paraId="642FC0A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ns5:graphicFrameLocks noChangeAspect="1"/>
                  </wp: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wp:inline>
              </w:drawing>
            </w:r>
          </w:p>
          <w:p ns2:paraId="1FD53490"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Master-to-arm pose mapping and arm control. (b) Chassis joint, Mecanum wheel, and feedforward branches. Contact-force allocation and force mapping generate feedforward torques, added to control torques. Solid/dashed lines denote forward/feedback paths;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20"/>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20"/>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20"/>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20"/>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20"/>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20"/>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20"/>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20"/>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the equivalent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wheel-axis 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At zero configuration, both links extend along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in {leg}; see Fig. 3(a).</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below-hip wheel-center branch,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Set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the inverse angles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ns5:graphicFrameLocks noChangeAspect="1"/>
                        </wp: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ns5:graphicFrameLocks noChangeAspect="1"/>
                        </wp: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ns5:graphicFrameLocks noChangeAspect="1"/>
                        </wp: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frames; angles show geometry, with zero configuration defined in the text. (b), (c) Type-A and Type-B wheels.</w:t>
            </w:r>
          </w:p>
        </w:tc>
      </w:tr>
    </w:tbl>
    <w:p>
      <w:pPr>
        <w:spacing w:before="0" w:after="0" w:line="20" w:lineRule="exact"/>
        <w:ind w:firstLine="0"/>
        <w:rPr>
          <w:sz w:val="2"/>
        </w:rPr>
      </w:pPr>
    </w:p>
    <w:p ns2:paraId="7941A21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(5)</w:t>
      </w:r>
    </w:p>
    <w:p ns2:paraId="6C79697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(6)</w:t>
      </w:r>
    </w:p>
    <w:p ns2:paraId="0707066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369D2F4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(7)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车轮受力示意图：接触力、轴端作用力、重力、驱动力矩与力臂"/>
                  <wp:cNvGraphicFramePr>
                    <ns5:graphicFrameLocks noChangeAspect="1"/>
                  </wp: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wp:inline>
              </w:drawing>
            </w:r>
          </w:p>
          <w:p ns2:paraId="0E294D34"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contact/axle forces, gravity, drive torque, and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2A55581D"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20"/>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(9)</w:t>
      </w:r>
    </w:p>
    <w:p ns2:paraId="31D0E06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(10)</w:t>
      </w:r>
    </w:p>
    <w:p ns2:paraId="1C2255A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20"/>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virtual work relates these generalized forces.</w:t>
      </w:r>
    </w:p>
    <w:p ns2:paraId="738EDCF1"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(11)</w:t>
      </w:r>
    </w:p>
    <w:p ns2:paraId="21299FD9"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基于底盘立体构型的整机质心与四轮接触力示意图"/>
                  <wp:cNvGraphicFramePr>
                    <ns5:graphicFrameLocks noChangeAspect="1"/>
                  </wp: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wp:inline>
              </w:drawing>
            </w:r>
          </w:p>
          <w:p ns2:paraId="3C50472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wheel-contact forces; arrows show application points and the force/moment arm at contact i.</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20"/>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20"/>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(12)</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(13)</w:t>
      </w:r>
    </w:p>
    <w:p ns2:paraId="25E0EFD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(14)</w:t>
      </w:r>
    </w:p>
    <w:p ns2:paraId="5E17A8D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20"/>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(15)</w:t>
      </w:r>
    </w:p>
    <w:p ns2:paraId="05FCF35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(16)</w:t>
      </w:r>
    </w:p>
    <w:p ns2:paraId="1C17AC4C"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20"/>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20"/>
          <w:szCs w:val="20"/>
          <w:color w:val="000000"/>
          <w:b w:val="0"/>
          <w:i w:val="0"/>
          <w:lang w:val="en-US"/>
        </w:rPr>
        <w:t xml:space="preserve">. Both correction and increment are in meters.</w:t>
      </w:r>
    </w:p>
    <w:p ns2:paraId="62DDC3E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(17)</w:t>
      </w:r>
    </w:p>
    <w:p ns2:paraId="730C998D"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20"/>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20"/>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底盘姿态控制器闭环方框图"/>
                  <wp:cNvGraphicFramePr>
                    <ns5:graphicFrameLocks noChangeAspect="1"/>
                  </wp: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wp:inline>
              </w:drawing>
            </w:r>
          </w:p>
          <w:p ns2:paraId="4C03B63B"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Cascaded roll/pitch P loops and height-increment accumulation follow (17); (18) allocates both corrections to four legs. Joint-servo inner loops are combined.</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ns2:paraId="06C3F0A7"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20"/>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20"/>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20"/>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(20).</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3059430" cy="2039620"/>
                  <wp:effectExtent l="0" t="0" r="7620" b="8255"/>
                  <wp:docPr id="1009" name="Fig. 8" descr="Delta 平移机构与三轴姿态手柄的机构、转轴和平行约束示意"/>
                  <wp:cNvGraphicFramePr>
                    <ns5:graphicFrameLocks noChangeAspect="1"/>
                  </wp: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wp:inline>
              </w:drawing>
            </w:r>
          </w:p>
          <w:p ns2:paraId="1B4719FE"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Teleoperation master and rotation axes. (a) Delta mechanism; highlighted parallelogram links keep the platforms parallel. (b) Three-axis handle, with joints and rotation axes shown from mount to grip.</w:t>
            </w:r>
          </w:p>
        </w:tc>
      </w:tr>
    </w:tbl>
    <w:p>
      <w:pPr>
        <w:spacing w:before="0" w:after="0" w:line="20" w:lineRule="exact"/>
        <w:ind w:firstLine="0"/>
        <w:rPr>
          <w:sz w:val="2"/>
        </w:rPr>
      </w:pPr>
    </w:p>
    <w:p ns2:paraId="4E1A48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(18)</w:t>
      </w:r>
    </w:p>
    <w:p ns2:paraId="2F97411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3118AC2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2D0A6DB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(21)</w:t>
      </w:r>
    </w:p>
    <w:p ns2:paraId="1984F69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Then</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3059430" cy="2045970"/>
                  <wp:effectExtent l="0" t="0" r="0" b="0"/>
                  <wp:docPr id="1010" name="Fig. 9" descr="Delta 三支链及单支链几何模型，基座原点位于静平台中心"/>
                  <wp:cNvGraphicFramePr>
                    <ns5:graphicFrameLocks noChangeAspect="1"/>
                  </wp: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wp:inline>
              </w:drawing>
            </w:r>
          </w:p>
          <w:p ns2:paraId="52F8C4D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 limbs and right-handed frame {D}: O is the fixed-platform center, +x points normally from moving to fixed platform, +z toward A1, and P marks the moving-platform center. Parallelogram links keep platforms parallel. (b) Symmetric limb section with radii,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(22)</w:t>
      </w:r>
    </w:p>
    <w:p ns2:paraId="6D6805DD"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provides master position. According to Pieper's study [9], calibrated joints j1–j3 directly specify moving-axis roll, pitch, and yaw, respectively; the corresponding angles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The handle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7E38FCCE"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is the fixed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20"/>
          <w:szCs w:val="20"/>
          <w:color w:val="000000"/>
          <w:b w:val="0"/>
          <w:i w:val="0"/>
          <w:lang w:val="en-US"/>
        </w:rPr>
        <w:t xml:space="preserve"> when the zero axes align.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20"/>
          <w:szCs w:val="20"/>
          <w:color w:val="000000"/>
          <w:b w:val="0"/>
          <w:i w:val="0"/>
          <w:lang w:val="en-US"/>
        </w:rPr>
        <w:t xml:space="preserve"> maps handle-frame components into {D}.</w:t>
      </w:r>
    </w:p>
    <w:p ns2:paraId="6B4762D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20"/>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(24)</w:t>
      </w:r>
    </w:p>
    <w:p ns2:paraId="6A570EEF"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20"/>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with the same moving-axis X–Y–Z convention.</w:t>
      </w:r>
    </w:p>
    <w:p ns2:paraId="28E4E76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(26)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(25)</w:t>
      </w:r>
    </w:p>
    <w:p ns2:paraId="49B2B100"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(26)</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422000" cy="1054954"/>
                  <wp:effectExtent l="0" t="0" r="0" b="2540"/>
                  <wp:docPr id="1011" name="Fig. 9(a)" descr="(a) Forward grasp"/>
                  <wp:cNvGraphicFramePr>
                    <ns5:graphicFrameLocks noChangeAspect="1"/>
                  </wp: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22000" cy="1054954"/>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422000" cy="1054346"/>
                  <wp:effectExtent l="0" t="0" r="0" b="3175"/>
                  <wp:docPr id="1012" name="Fig. 9(b)" descr="(b) Rightward grasp"/>
                  <wp:cNvGraphicFramePr>
                    <ns5:graphicFrameLocks noChangeAspect="1"/>
                  </wp: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22000" cy="1054346"/>
                          </ns5:xfrm>
                          <ns5:prstGeom prst="rect">
                            <ns5:avLst/>
                          </ns5:prstGeom>
                        </ns6:spPr>
                      </ns6:pic>
                    </ns5:graphicData>
                  </ns5:graphic>
                </wp:inline>
              </w:drawing>
            </w:r>
          </w:p>
          <w:p ns2:paraId="3C3B996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422000" cy="1054346"/>
                  <wp:effectExtent l="0" t="0" r="0" b="3175"/>
                  <wp:docPr id="1013" name="Fig. 9(c)" descr="(c) Upward tilt"/>
                  <wp:cNvGraphicFramePr>
                    <ns5:graphicFrameLocks noChangeAspect="1"/>
                  </wp: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22000" cy="1054346"/>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422000" cy="1054346"/>
                  <wp:effectExtent l="0" t="0" r="0" b="3175"/>
                  <wp:docPr id="1014" name="Fig. 9(d)" descr="(d) Downward tilt"/>
                  <wp:cNvGraphicFramePr>
                    <ns5:graphicFrameLocks noChangeAspect="1"/>
                  </wp: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22000" cy="1054346"/>
                          </ns5:xfrm>
                          <ns5:prstGeom prst="rect">
                            <ns5:avLst/>
                          </ns5:prstGeom>
                        </ns6:spPr>
                      </ns6:pic>
                    </ns5:graphicData>
                  </ns5:graphic>
                </wp:inline>
              </w:drawing>
            </w:r>
          </w:p>
          <w:p ns2:paraId="44DAA1FC"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Delta-master teleoperation. (a) Forward grasp. (b) Rightward grasp. (c) Upward tilt. (d) Downward tilt. Each panel shows the operator/master and robot/arm; </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t xml:space="preserve"> and </w:t>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t xml:space="preserve"> denote the handle and gripper-tool frames.</w:t>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1422000" cy="1063462"/>
                  <wp:effectExtent l="0" t="0" r="0" b="3175"/>
                  <wp:docPr id="1015" name="Fig. 10(b)" descr="(b) 1.8 s"/>
                  <wp:cNvGraphicFramePr>
                    <ns5:graphicFrameLocks noChangeAspect="1"/>
                  </wp: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22000" cy="1063462"/>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1422000" cy="1063462"/>
                  <wp:effectExtent l="0" t="0" r="0" b="3175"/>
                  <wp:docPr id="1016" name="Fig. 10(c)" descr="(c) 2.6 s"/>
                  <wp:cNvGraphicFramePr>
                    <ns5:graphicFrameLocks noChangeAspect="1"/>
                  </wp: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22000" cy="1063462"/>
                          </ns5:xfrm>
                          <ns5:prstGeom prst="rect">
                            <ns5:avLst/>
                          </ns5:prstGeom>
                        </ns6:spPr>
                      </ns6:pic>
                    </ns5:graphicData>
                  </ns5:graphic>
                </wp:inline>
              </w:drawing>
            </w:r>
          </w:p>
          <w:p ns2:paraId="286F389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1422000" cy="1137600"/>
                  <wp:effectExtent l="0" t="0" r="0" b="1905"/>
                  <wp:docPr id="1017" name="Fig. 10(f)" descr="(f) 5.1 s"/>
                  <wp:cNvGraphicFramePr>
                    <ns5:graphicFrameLocks noChangeAspect="1"/>
                  </wp: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22000" cy="1137600"/>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1422000" cy="1137600"/>
                  <wp:effectExtent l="0" t="0" r="0" b="1905"/>
                  <wp:docPr id="1018" name="Fig. 10(g)" descr="(g) 5.8 s"/>
                  <wp:cNvGraphicFramePr>
                    <ns5:graphicFrameLocks noChangeAspect="1"/>
                  </wp: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22000" cy="1137600"/>
                          </ns5:xfrm>
                          <ns5:prstGeom prst="rect">
                            <ns5:avLst/>
                          </ns5:prstGeom>
                        </ns6:spPr>
                      </ns6:pic>
                    </ns5:graphicData>
                  </ns5:graphic>
                </wp:inline>
              </w:drawing>
            </w:r>
          </w:p>
          <w:p ns2:paraId="08660972"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Two-step climbing sequence (left-to-right by row; times relative to video): (a), (b) first step; (c), (d)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ns2:paraId="49D9865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40" w:line="216"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40" w:after="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0" w:line="17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