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numId w:val="0"/>
        </w:numPr>
        <w:snapToGrid w:val="0"/>
        <w:spacing w:before="60" w:after="60" w:line="240" w:lineRule="auto"/>
        <w:ind w:left="0" w:right="0" w:firstLine="0"/>
        <w:jc w:val="center"/>
      </w:pPr>
      <w:r>
        <w:drawing>
          <wp:inline distT="0" distB="0" distL="0" distR="0">
            <wp:extent cx="2988000" cy="7312737"/>
            <wp:docPr id="31" name="Fig. 1"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ystem_control_flow.png"/>
                    <pic:cNvPicPr>
                      <a:picLocks noChangeAspect="1"/>
                    </pic:cNvPicPr>
                  </pic:nvPicPr>
                  <pic:blipFill>
                    <a:blip r:embed="rId15"/>
                    <a:stretch>
                      <a:fillRect/>
                    </a:stretch>
                  </pic:blipFill>
                  <pic:spPr>
                    <a:xfrm>
                      <a:off x="0" y="0"/>
                      <a:ext cx="2988000" cy="7312737"/>
                    </a:xfrm>
                    <a:prstGeom prst="rect">
                      <a:avLst/>
                    </a:prstGeom>
                  </pic:spPr>
                </pic:pic>
              </a:graphicData>
            </a:graphic>
          </wp:inline>
        </w:drawing>
      </w:r>
    </w:p>
    <w:p w14:paraId="4CFCF1DB">
      <w:pPr>
        <w:pStyle w:val="18"/>
        <w:numPr>
          <w:ilvl w:val="0"/>
          <w:numId w:val="0"/>
        </w:numPr>
        <w:snapToGrid w:val="0"/>
      </w:pPr>
      <w:r>
        <w:rPr>
          <w:iCs/>
        </w:rPr>
        <w:t xml:space="preserve">Fig. 1. </w:t>
      </w:r>
      <w:r>
        <w:rPr>
          <w:rFonts w:hint="eastAsia"/>
          <w:iCs/>
        </w:rPr>
        <w:t>整机控制流程。（a）遥操作主端经位姿映射与解析逆解生成机械臂关节目标，关节伺服叠加重力前馈。（b）底盘并行生成轮腿运动目标与模型前馈力矩，并利用 IMU 和编码器反馈闭环控制。实线为前向信号路径，虚线为测量反馈；TD 为跟踪微分器，IK 为逆运动学。</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2"/>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p>
          <m:e>
            <m:d>
              <m:dPr>
                <m:begChr m:val="["/>
                <m:endChr m:val="]"/>
              </m:dPr>
              <m:e>
                <m:sSub>
                  <m:e>
                    <m:r>
                      <m:rPr>
                        <m:sty m:val="i"/>
                      </m:rPr>
                      <w:rPr>
                        <w:rFonts w:ascii="Cambria Math" w:hAnsi="Cambria Math" w:eastAsia="Cambria Math" w:cs="Cambria Math"/>
                        <w:sz w:val="20"/>
                        <w:szCs w:val="20"/>
                      </w:rPr>
                      <m:t xml:space="preserve">x</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y</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z</m:t>
                    </m:r>
                  </m:e>
                  <m:sub>
                    <m:r>
                      <m:rPr>
                        <m:sty m:val="p"/>
                      </m:rPr>
                      <w:rPr>
                        <w:rFonts w:ascii="Cambria Math" w:hAnsi="Cambria Math" w:eastAsia="Cambria Math" w:cs="Cambria Math"/>
                        <w:sz w:val="20"/>
                        <w:szCs w:val="20"/>
                      </w:rPr>
                      <m:t xml:space="preserve">D</m:t>
                    </m:r>
                  </m:sub>
                </m:sSub>
              </m:e>
            </m:d>
          </m:e>
          <m:sup>
            <m:r>
              <m:rPr>
                <m:sty m:val="p"/>
              </m:rPr>
              <w:rPr>
                <w:rFonts w:ascii="Cambria Math" w:hAnsi="Cambria Math" w:eastAsia="Cambria Math" w:cs="Cambria Math"/>
                <w:sz w:val="20"/>
                <w:szCs w:val="20"/>
              </w:rPr>
              <m:t xml:space="preserve">T</m:t>
            </m:r>
          </m:sup>
        </m:sSup>
      </m:oMath>
      <w:r>
        <w:rPr>
          <w:rFonts w:hint="eastAsia"/>
          <w:sz w:val="20"/>
          <w:szCs w:val="20"/>
        </w:rPr>
        <w:t xml:space="preserve">。手柄采用动轴 X–Y–Z 欧拉角：从 j1 到 j3 依次为滚转（roll）、俯仰（pitch）、偏航（yaw），经编码器零位与正向标定后分别记为 </w:t>
      </w:r>
      <m:oMath>
        <m:d>
          <m:dPr>
            <m:begChr m:val="("/>
            <m:endChr m:val=")"/>
          </m:dPr>
          <m:e>
            <m:sSub>
              <m:e>
                <m:r>
                  <m:rPr>
                    <m:sty m:val="i"/>
                  </m:rPr>
                  <w:rPr>
                    <w:rFonts w:ascii="Cambria Math" w:hAnsi="Cambria Math" w:eastAsia="Cambria Math" w:cs="Cambria Math"/>
                    <w:sz w:val="20"/>
                    <w:szCs w:val="20"/>
                  </w:rPr>
                  <m:t xml:space="preserve">ϕ</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θ</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ψ</m:t>
                </m:r>
              </m:e>
              <m:sub>
                <m:r>
                  <m:rPr>
                    <m:sty m:val="p"/>
                  </m:rPr>
                  <w:rPr>
                    <w:rFonts w:ascii="Cambria Math" w:hAnsi="Cambria Math" w:eastAsia="Cambria Math" w:cs="Cambria Math"/>
                    <w:sz w:val="20"/>
                    <w:szCs w:val="20"/>
                  </w:rPr>
                  <m:t xml:space="preserve">h</m:t>
                </m:r>
              </m:sub>
            </m:sSub>
          </m:e>
        </m:d>
      </m:oMath>
      <w:r>
        <w:rPr>
          <w:rFonts w:hint="eastAsia"/>
          <w:sz w:val="20"/>
          <w:szCs w:val="20"/>
        </w:rPr>
        <w:t xml:space="preserve">，单位为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h,0</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x</m:t>
                        </m:r>
                      </m:sub>
                    </m:sSub>
                    <m:d>
                      <m:dPr>
                        <m:begChr m:val="("/>
                        <m:endChr m:val=")"/>
                      </m:dPr>
                      <m:e>
                        <m:sSub>
                          <m:e>
                            <m:r>
                              <m:rPr>
                                <m:sty m:val="i"/>
                              </m:rPr>
                              <w:rPr>
                                <w:rFonts w:ascii="Cambria Math" w:hAnsi="Cambria Math" w:eastAsia="Cambria Math" w:cs="Cambria Math"/>
                                <w:sz w:val="18"/>
                                <w:szCs w:val="18"/>
                              </w:rPr>
                              <m:t xml:space="preserve">ϕ</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y</m:t>
                        </m:r>
                      </m:sub>
                    </m:sSub>
                    <m:d>
                      <m:dPr>
                        <m:begChr m:val="("/>
                        <m:endChr m:val=")"/>
                      </m:dPr>
                      <m:e>
                        <m:sSub>
                          <m:e>
                            <m:r>
                              <m:rPr>
                                <m:sty m:val="i"/>
                              </m:rPr>
                              <w:rPr>
                                <w:rFonts w:ascii="Cambria Math" w:hAnsi="Cambria Math" w:eastAsia="Cambria Math" w:cs="Cambria Math"/>
                                <w:sz w:val="18"/>
                                <w:szCs w:val="18"/>
                              </w:rPr>
                              <m:t xml:space="preserve">θ</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z</m:t>
                        </m:r>
                      </m:sub>
                    </m:sSub>
                    <m:d>
                      <m:dPr>
                        <m:begChr m:val="("/>
                        <m:endChr m:val=")"/>
                      </m:dPr>
                      <m:e>
                        <m:sSub>
                          <m:e>
                            <m:r>
                              <m:rPr>
                                <m:sty m:val="i"/>
                              </m:rPr>
                              <w:rPr>
                                <w:rFonts w:ascii="Cambria Math" w:hAnsi="Cambria Math" w:eastAsia="Cambria Math" w:cs="Cambria Math"/>
                                <w:sz w:val="18"/>
                                <w:szCs w:val="18"/>
                              </w:rPr>
                              <m:t xml:space="preserve">ψ</m:t>
                            </m:r>
                          </m:e>
                          <m:sub>
                            <m:r>
                              <m:rPr>
                                <m:sty m:val="p"/>
                              </m:rPr>
                              <w:rPr>
                                <w:rFonts w:ascii="Cambria Math" w:hAnsi="Cambria Math" w:eastAsia="Cambria Math" w:cs="Cambria Math"/>
                                <w:sz w:val="18"/>
                                <w:szCs w:val="18"/>
                              </w:rPr>
                              <m:t xml:space="preserve">h</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Dh</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为手柄零位姿态相对 </w:t>
      </w:r>
      <w:r>
        <w:rPr>
          <w:rFonts w:hint="eastAsia"/>
          <w:sz w:val="20"/>
          <w:szCs w:val="20"/>
        </w:rPr>
        <w:t xml:space="preserve">{D}</w:t>
      </w:r>
      <w:r>
        <w:rPr>
          <w:rFonts w:hint="eastAsia"/>
          <w:sz w:val="20"/>
          <w:szCs w:val="20"/>
        </w:rPr>
        <w:t xml:space="preserve"> 的固定安装旋转；零位坐标轴与 </w:t>
      </w:r>
      <w:r>
        <w:rPr>
          <w:rFonts w:hint="eastAsia"/>
          <w:sz w:val="20"/>
          <w:szCs w:val="20"/>
        </w:rPr>
        <w:t xml:space="preserve">{D}</w:t>
      </w:r>
      <w:r>
        <w:rPr>
          <w:rFonts w:hint="eastAsia"/>
          <w:sz w:val="20"/>
          <w:szCs w:val="20"/>
        </w:rPr>
        <w:t xml:space="preserve"> 对齐时，</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h,0</m:t>
            </m:r>
          </m:sub>
        </m:sSub>
      </m:oMath>
      <w:r>
        <w:rPr>
          <w:rFonts w:hint="eastAsia"/>
          <w:sz w:val="20"/>
          <w:szCs w:val="20"/>
        </w:rPr>
        <w:t xml:space="preserve"> 等于 </w:t>
      </w:r>
      <m:oMath>
        <m:sSub>
          <m:e>
            <m:r>
              <m:rPr>
                <m:sty m:val="b"/>
              </m:rPr>
              <w:rPr>
                <w:rFonts w:ascii="Cambria Math" w:hAnsi="Cambria Math" w:eastAsia="Cambria Math" w:cs="Cambria Math"/>
                <w:sz w:val="20"/>
                <w:szCs w:val="20"/>
              </w:rPr>
              <m:t xml:space="preserve">I</m:t>
            </m:r>
          </m:e>
          <m:sub>
            <m:r>
              <m:rPr>
                <m:sty m:val="p"/>
              </m:rPr>
              <w:rPr>
                <w:rFonts w:ascii="Cambria Math" w:hAnsi="Cambria Math" w:eastAsia="Cambria Math" w:cs="Cambria Math"/>
                <w:sz w:val="20"/>
                <w:szCs w:val="20"/>
              </w:rPr>
              <m:t xml:space="preserve">3</m:t>
            </m:r>
          </m:sub>
        </m:sSub>
      </m:oMath>
      <w:r>
        <w:rPr>
          <w:rFonts w:hint="eastAsia"/>
          <w:sz w:val="20"/>
          <w:szCs w:val="20"/>
        </w:rPr>
        <w:t xml:space="preserve">。动轴旋转依次右乘，故三个关节的旋转矩阵按 roll、pitch、yaw 排列。</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h</m:t>
            </m:r>
          </m:sub>
        </m:sSub>
      </m:oMath>
      <w:r>
        <w:rPr>
          <w:rFonts w:hint="eastAsia"/>
          <w:sz w:val="20"/>
          <w:szCs w:val="20"/>
        </w:rPr>
        <w:t xml:space="preserve"> 将手柄姿态坐标系的分量变换至 </w:t>
      </w:r>
      <w:r>
        <w:rPr>
          <w:rFonts w:hint="eastAsia"/>
          <w:sz w:val="20"/>
          <w:szCs w:val="20"/>
        </w:rPr>
        <w:t xml:space="preserve">{D}</w:t>
      </w:r>
      <w:r>
        <w:rPr>
          <w:rFonts w:hint="eastAsia"/>
          <w:sz w:val="20"/>
          <w:szCs w:val="20"/>
        </w:rPr>
        <w:t xml:space="preserve">，该姿态坐标系的原点取位置输入点，即动平台中心。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w:t>
      </w:r>
      <w:r>
        <w:rPr>
          <w:rFonts w:hint="eastAsia"/>
          <w:sz w:val="20"/>
          <w:szCs w:val="20"/>
        </w:rPr>
        <w:t xml:space="preserve">{A}</w:t>
      </w:r>
      <w:r>
        <w:rPr>
          <w:rFonts w:hint="eastAsia"/>
          <w:sz w:val="20"/>
          <w:szCs w:val="20"/>
        </w:rPr>
        <w:t xml:space="preserve">，与 III-C 节的坐标系 0 一致。初始化时记录主端位置零点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D,0</m:t>
            </m:r>
          </m:sub>
        </m:sSub>
      </m:oMath>
      <w:r>
        <w:rPr>
          <w:rFonts w:hint="eastAsia"/>
          <w:sz w:val="20"/>
          <w:szCs w:val="20"/>
        </w:rPr>
        <w:t xml:space="preserve"> 和从端参考位置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A,0</m:t>
            </m:r>
          </m:sub>
        </m:sSub>
      </m:oMath>
      <w:r>
        <w:rPr>
          <w:rFonts w:hint="eastAsia"/>
          <w:sz w:val="20"/>
          <w:szCs w:val="20"/>
        </w:rPr>
        <w:t xml:space="preserve">，由主端矩阵中的位置、姿态分块计算从端目标：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A,0</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K</m:t>
                        </m:r>
                      </m:e>
                      <m:sub>
                        <m:r>
                          <m:rPr>
                            <m:sty m:val="p"/>
                          </m:rPr>
                          <w:rPr>
                            <w:rFonts w:ascii="Cambria Math" w:hAnsi="Cambria Math" w:eastAsia="Cambria Math" w:cs="Cambria Math"/>
                            <w:sz w:val="18"/>
                            <w:szCs w:val="18"/>
                          </w:rPr>
                          <m:t xml:space="preserve">map</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d>
                      <m:dPr>
                        <m:begChr m:val="("/>
                        <m:endChr m:val=")"/>
                      </m:d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D,0</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tool</m:t>
                        </m:r>
                      </m:sub>
                    </m:sSub>
                    <m:r>
                      <m:rPr>
                        <m:sty m:val="p"/>
                      </m:rPr>
                      <w:rPr>
                        <w:rFonts w:ascii="Cambria Math" w:hAnsi="Cambria Math" w:eastAsia="Cambria Math" w:cs="Cambria Math"/>
                        <w:sz w:val="18"/>
                        <w:szCs w:val="18"/>
                      </w:rPr>
                      <m:t xml:space="preserve">.</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 将 </w:t>
      </w:r>
      <w:r>
        <w:rPr>
          <w:rFonts w:hint="eastAsia"/>
          <w:sz w:val="20"/>
          <w:szCs w:val="20"/>
        </w:rPr>
        <w:t xml:space="preserve">{D}</w:t>
      </w:r>
      <w:r>
        <w:rPr>
          <w:rFonts w:hint="eastAsia"/>
          <w:sz w:val="20"/>
          <w:szCs w:val="20"/>
        </w:rPr>
        <w:t xml:space="preserve"> 中的分量旋转至 </w:t>
      </w:r>
      <w:r>
        <w:rPr>
          <w:rFonts w:hint="eastAsia"/>
          <w:sz w:val="20"/>
          <w:szCs w:val="20"/>
        </w:rPr>
        <w:t xml:space="preserve">{A}</w:t>
      </w:r>
      <w:r>
        <w:rPr>
          <w:rFonts w:hint="eastAsia"/>
          <w:sz w:val="20"/>
          <w:szCs w:val="20"/>
        </w:rPr>
        <w:t xml:space="preserve">；</w:t>
      </w:r>
      <m:oMath>
        <m:sSub>
          <m:e>
            <m:r>
              <m:rPr>
                <m:sty m:val="b"/>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map</m:t>
            </m:r>
          </m:sub>
        </m:sSub>
        <m:r>
          <m:rPr>
            <m:sty m:val="p"/>
          </m:rPr>
          <w:rPr>
            <w:rFonts w:ascii="Cambria Math" w:hAnsi="Cambria Math" w:eastAsia="Cambria Math" w:cs="Cambria Math"/>
            <w:sz w:val="20"/>
            <w:szCs w:val="20"/>
          </w:rPr>
          <m:t xml:space="preserve">=diag</m:t>
        </m:r>
        <m:d>
          <m:dPr>
            <m:begChr m:val="("/>
            <m:endChr m:val=")"/>
          </m:dPr>
          <m:e>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x</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y</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z</m:t>
                </m:r>
              </m:sub>
            </m:sSub>
          </m:e>
        </m:d>
      </m:oMath>
      <w:r>
        <w:rPr>
          <w:rFonts w:hint="eastAsia"/>
          <w:sz w:val="20"/>
          <w:szCs w:val="20"/>
        </w:rPr>
        <w:t xml:space="preserve"> 为无量纲位置缩放矩阵，沿从端基坐标轴分别缩放；</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，不再重复施加校准。</w:t>
      </w:r>
    </w:p>
    <w:p w14:paraId="4BCDE9C3">
      <w:pPr>
        <w:pStyle w:val="7"/>
        <w:numPr>
          <w:ilvl w:val="0"/>
          <w:numId w:val="0"/>
        </w:numPr>
        <w:snapToGrid w:val="0"/>
        <w:rPr>
          <w:sz w:val="20"/>
        </w:rPr>
      </w:pPr>
      <w:r>
        <w:rPr>
          <w:rFonts w:hint="eastAsia"/>
          <w:sz w:val="20"/>
          <w:szCs w:val="20"/>
        </w:rPr>
        <w:t xml:space="preserve">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 xml:space="preserve">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, </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e>
                  <m:e>
                    <m:sSub>
                      <m:e>
                        <m:r>
                          <m:rPr>
                            <m:sty m:val="bi"/>
                          </m:rPr>
                          <w:rPr>
                            <w:rFonts w:ascii="Cambria Math" w:hAnsi="Cambria Math" w:eastAsia="Cambria Math" w:cs="Cambria Math"/>
                            <w:sz w:val="18"/>
                            <w:szCs w:val="18"/>
                          </w:rPr>
                          <m:t xml:space="preserve">q</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=IK</m:t>
                    </m:r>
                    <m:d>
                      <m:dPr>
                        <m:begChr m:val="("/>
                        <m:endChr m:val=")"/>
                      </m:dPr>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e>
                    </m:d>
                    <m:r>
                      <m:rPr>
                        <m:sty m:val="p"/>
                      </m:rPr>
                      <w:rPr>
                        <w:rFonts w:ascii="Cambria Math" w:hAnsi="Cambria Math" w:eastAsia="Cambria Math" w:cs="Cambria Math"/>
                        <w:sz w:val="18"/>
                        <w:szCs w:val="18"/>
                      </w:rPr>
                      <m:t xml:space="preserve">.</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36</m:t>
            </m:r>
          </m:sub>
        </m:sSub>
      </m:oMath>
      <w:r>
        <w:rPr>
          <w:rFonts w:hint="eastAsia"/>
          <w:sz w:val="20"/>
          <w:szCs w:val="20"/>
        </w:rPr>
        <w:t xml:space="preserve">，由式（23）及零位偏置得到后三个关节角。保留满足关节限位且与上一时刻最接近的可行解，作为六轴关节指令 </w:t>
      </w:r>
      <m:oMath>
        <m:sSub>
          <m:e>
            <m:r>
              <m:rPr>
                <m:sty m:val="bi"/>
              </m:rPr>
              <w:rPr>
                <w:rFonts w:ascii="Cambria Math" w:hAnsi="Cambria Math" w:eastAsia="Cambria Math" w:cs="Cambria Math"/>
                <w:sz w:val="20"/>
                <w:szCs w:val="20"/>
              </w:rPr>
              <m:t xml:space="preserve">q</m:t>
            </m:r>
          </m:e>
          <m:sub>
            <m:r>
              <m:rPr>
                <m:sty m:val="p"/>
              </m:rPr>
              <w:rPr>
                <w:rFonts w:ascii="Cambria Math" w:hAnsi="Cambria Math" w:eastAsia="Cambria Math" w:cs="Cambria Math"/>
                <w:sz w:val="20"/>
                <w:szCs w:val="20"/>
              </w:rPr>
              <m:t xml:space="preserve">a,d</m:t>
            </m:r>
          </m:sub>
        </m:sSub>
      </m:oMath>
      <w:r>
        <w:rPr>
          <w:rFonts w:hint="eastAsia"/>
          <w:sz w:val="20"/>
          <w:szCs w:val="20"/>
        </w:rPr>
        <w:t xml:space="preserve">。目标不可达或位于奇异位形时，不直接输出该逆解；重置位置零点时同步更新从端参考位置，以保持目标连续。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5" Type="http://schemas.openxmlformats.org/officeDocument/2006/relationships/image" Target="media/system_control_flow.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2026-10-08T02:20:00Z</dcterms:created>
  <dc:creator>赵苏亚</dc:creator>
  <cp:lastModifiedBy>赵苏亚</cp:lastModifiedBy>
  <dcterms:modified xsi:type="dcterms:W3CDTF">2026-10-07T11:49:21Z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