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eastAsia="宋体"/>
          <w:lang w:val="en-US" w:eastAsia="zh-CN"/>
        </w:rPr>
        <w:t xml:space="preserve">   </w:t>
      </w:r>
      <w:r>
        <w:rPr>
          <w:rFonts w:hint="eastAsia"/>
        </w:rPr>
        <w:t>麦克纳姆轮四足移动机械臂的</w:t>
      </w:r>
      <w:r>
        <w:rPr>
          <w:rFonts w:hint="eastAsia" w:eastAsia="宋体"/>
          <w:lang w:val="en-US" w:eastAsia="zh-CN"/>
        </w:rPr>
        <w:t>系统</w:t>
      </w:r>
      <w:r>
        <w:rPr>
          <w:rFonts w:hint="eastAsia"/>
        </w:rPr>
        <w:t>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w:t>
      </w:r>
      <w:r>
        <w:rPr>
          <w:rFonts w:hint="eastAsia"/>
          <w:color w:val="FF0000"/>
          <w:highlight w:val="yellow"/>
          <w:lang w:val="en-US" w:eastAsia="zh-CN"/>
        </w:rPr>
        <w:t>以上场景</w:t>
      </w:r>
      <w:r>
        <w:rPr>
          <w:rFonts w:hint="eastAsia"/>
        </w:rPr>
        <w:t>，本文提出一种麦克纳姆轮四足移动机械臂及其异构遥操作系统。底盘每腿</w:t>
      </w:r>
      <w:r>
        <w:rPr>
          <w:rFonts w:hint="eastAsia"/>
          <w:highlight w:val="green"/>
          <w:lang w:eastAsia="zh-CN"/>
        </w:rPr>
        <w:t>拥有</w:t>
      </w:r>
      <w:r>
        <w:rPr>
          <w:rFonts w:hint="eastAsia"/>
        </w:rPr>
        <w:t>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通过主从坐标校准与位姿映射，将主手输入转换为机械臂关节指令，并采用主手重力补偿减轻静态持握负担。本文建立了从机构设计、运动学建模到模型前馈与关节控制的完整方法，为系统的</w:t>
      </w:r>
      <w:r>
        <w:rPr>
          <w:rFonts w:hint="eastAsia"/>
          <w:color w:val="FF0000"/>
          <w:highlight w:val="yellow"/>
          <w:lang w:val="en-US" w:eastAsia="zh-CN"/>
        </w:rPr>
        <w:t>整体设计和功能</w:t>
      </w:r>
      <w:r>
        <w:rPr>
          <w:rFonts w:hint="eastAsia"/>
          <w:color w:val="FF0000"/>
          <w:highlight w:val="yellow"/>
        </w:rPr>
        <w:t>实现</w:t>
      </w:r>
      <w:r>
        <w:rPr>
          <w:rFonts w:hint="eastAsia"/>
        </w:rPr>
        <w:t>提供依据</w:t>
      </w:r>
      <w:r>
        <w:rPr>
          <w:rFonts w:hint="eastAsia"/>
          <w:lang w:eastAsia="zh-CN"/>
        </w:rPr>
        <w:t>，</w:t>
      </w:r>
      <w:r>
        <w:rPr>
          <w:rFonts w:hint="eastAsia"/>
          <w:color w:val="FF0000"/>
          <w:lang w:val="en-US" w:eastAsia="zh-CN"/>
        </w:rPr>
        <w:t>并在文章结尾给出了实物验证效果展示</w:t>
      </w:r>
      <w:r>
        <w:rPr>
          <w:rFonts w:hint="eastAsia"/>
        </w:rPr>
        <w:t>。</w:t>
      </w:r>
    </w:p>
    <w:p w14:paraId="6FCC174E">
      <w:pPr>
        <w:pStyle w:val="29"/>
        <w:numPr>
          <w:ilvl w:val="0"/>
          <w:numId w:val="0"/>
        </w:numPr>
        <w:snapToGrid w:val="0"/>
      </w:pPr>
      <w:r>
        <w:rPr>
          <w:rFonts w:hint="eastAsia"/>
          <w:b/>
          <w:bCs/>
        </w:rPr>
        <w:t>关键词（Keywords）</w:t>
      </w:r>
      <w:r>
        <w:rPr>
          <w:rFonts w:hint="eastAsia"/>
        </w:rPr>
        <w:t>：轮足机器人，麦克纳姆轮，移动操作，力矩前馈，异构遥操作。</w:t>
      </w:r>
    </w:p>
    <w:bookmarkEnd w:id="1"/>
    <w:p w14:paraId="6BBBA587">
      <w:pPr>
        <w:pStyle w:val="2"/>
        <w:numPr>
          <w:ilvl w:val="0"/>
          <w:numId w:val="0"/>
        </w:numPr>
        <w:snapToGrid w:val="0"/>
      </w:pPr>
      <w:r>
        <w:rPr>
          <w:rFonts w:hint="eastAsia"/>
        </w:rPr>
        <w:t>I. 引言（Introduction）</w:t>
      </w:r>
    </w:p>
    <w:p w14:paraId="70A5ABB0">
      <w:pPr>
        <w:pStyle w:val="7"/>
        <w:numPr>
          <w:ilvl w:val="0"/>
          <w:numId w:val="0"/>
        </w:numPr>
        <w:snapToGrid w:val="0"/>
        <w:rPr>
          <w:rFonts w:hint="eastAsia"/>
          <w:sz w:val="20"/>
          <w:szCs w:val="20"/>
        </w:rPr>
      </w:pPr>
      <w:r>
        <w:rPr>
          <w:rFonts w:hint="eastAsia"/>
          <w:sz w:val="20"/>
          <w:szCs w:val="20"/>
        </w:rPr>
        <w:t>随着机器人应用向应急救援、危险环境巡检和远程维护等场景拓展，移动机器人不仅需要在复杂地形中完成移动与环境感知，还需要具备物体抓取、搬运及设备操作等能力。这类任务要求机器人同时具备地形适应能力、灵活的末端操作能力以及有效的人机交互方式。CENTAURO等系统将轮足移动机构、机械臂与遥操作接口相结合，展示了移动操作机器人在人员难以直接进入的环境中执行复杂任务的应用潜力。[1]</w:t>
      </w:r>
      <w:r>
        <w:rPr>
          <w:rFonts w:hint="eastAsia"/>
          <w:sz w:val="20"/>
          <w:szCs w:val="20"/>
          <w:lang w:val="en-US" w:eastAsia="zh-CN"/>
        </w:rPr>
        <w:t>由此可见</w:t>
      </w:r>
      <w:r>
        <w:rPr>
          <w:rFonts w:hint="eastAsia"/>
          <w:sz w:val="20"/>
          <w:szCs w:val="20"/>
        </w:rPr>
        <w:t>，面向非结构化环境，研究兼顾移动能力与操作能力的遥操机器人具有实际意义。</w:t>
      </w:r>
    </w:p>
    <w:p w14:paraId="5B8FBFE0">
      <w:pPr>
        <w:pStyle w:val="7"/>
        <w:numPr>
          <w:ilvl w:val="0"/>
          <w:numId w:val="0"/>
        </w:numPr>
        <w:snapToGrid w:val="0"/>
        <w:rPr>
          <w:sz w:val="20"/>
        </w:rPr>
      </w:pPr>
      <w:r>
        <w:rPr>
          <w:rFonts w:hint="default" w:eastAsia="宋体"/>
          <w:sz w:val="20"/>
          <w:szCs w:val="20"/>
          <w:lang w:val="en-US" w:eastAsia="zh-CN"/>
        </w:rPr>
        <w:t>机器人相关领域已在高运动能力底盘、六自由度机械臂设计与控制、移动操作及遥操作等方向开展了较多研究，为兼顾移动与操作能力的遥操系统提供了参考。如</w:t>
      </w:r>
      <w:r>
        <w:rPr>
          <w:rFonts w:hint="eastAsia"/>
          <w:sz w:val="20"/>
          <w:szCs w:val="20"/>
          <w:lang w:val="en-US" w:eastAsia="zh-CN"/>
        </w:rPr>
        <w:t>在</w:t>
      </w:r>
      <w:r>
        <w:rPr>
          <w:rFonts w:hint="eastAsia"/>
          <w:sz w:val="20"/>
          <w:szCs w:val="20"/>
        </w:rPr>
        <w:t>轮足复合结构</w:t>
      </w:r>
      <w:r>
        <w:rPr>
          <w:rFonts w:hint="eastAsia"/>
          <w:sz w:val="20"/>
          <w:szCs w:val="20"/>
          <w:lang w:val="en-US" w:eastAsia="zh-CN"/>
        </w:rPr>
        <w:t>的研究中</w:t>
      </w:r>
      <w:r>
        <w:rPr>
          <w:rFonts w:hint="eastAsia"/>
          <w:sz w:val="20"/>
          <w:szCs w:val="20"/>
          <w:lang w:eastAsia="zh-CN"/>
        </w:rPr>
        <w:t>，</w:t>
      </w:r>
      <w:r>
        <w:rPr>
          <w:rFonts w:hint="default" w:eastAsia="宋体"/>
          <w:sz w:val="20"/>
          <w:szCs w:val="20"/>
          <w:lang w:val="en-US" w:eastAsia="zh-CN"/>
        </w:rPr>
        <w:t>Bjelonic等通过滚动约束和全身模型预测控制协调轮腿运动[2,3]；Iotti等研制的OmniQuad结合麦克纳姆轮与四足机构，实现保持朝向的平面移动[4]</w:t>
      </w:r>
      <w:r>
        <w:rPr>
          <w:rFonts w:hint="eastAsia"/>
          <w:sz w:val="20"/>
          <w:szCs w:val="20"/>
          <w:lang w:val="en-US" w:eastAsia="zh-CN"/>
        </w:rPr>
        <w:t>。</w:t>
      </w:r>
      <w:r>
        <w:rPr>
          <w:rFonts w:hint="default" w:eastAsia="宋体"/>
          <w:sz w:val="20"/>
          <w:szCs w:val="20"/>
          <w:lang w:val="en-US" w:eastAsia="zh-CN"/>
        </w:rPr>
        <w:t>Wang、Zhang和Chen等分别探索了机械臂约束下的学习控制、多构型运动控制及移动操作的全身优化[5–7]。在遥操作方面，Cruz Ulloa等采用混合现实接口控制四足机械臂机器人[8]，Uchiyama和Tobergte等则基于Delta平移机构与姿态机构构建六自由度主手[9,10]。但在面向具体机构与任务需求的系统设计中，底盘运动与机械臂操作的配合、异构主从机构的位姿映射与工作空间适配，以及机械臂遥操作与底盘运动控制的流程集成，仍具有进一步研究和工程实现的价值。</w:t>
      </w:r>
    </w:p>
    <w:p w14:paraId="20E0F9C2">
      <w:pPr>
        <w:pStyle w:val="7"/>
        <w:numPr>
          <w:ilvl w:val="0"/>
          <w:numId w:val="0"/>
        </w:numPr>
        <w:snapToGrid w:val="0"/>
        <w:rPr>
          <w:sz w:val="20"/>
        </w:rPr>
      </w:pPr>
      <w:r>
        <w:rPr>
          <w:rFonts w:hint="eastAsia"/>
          <w:sz w:val="20"/>
          <w:szCs w:val="20"/>
          <w:lang w:val="en-US" w:eastAsia="zh-CN"/>
        </w:rPr>
        <w:t>基于上述研究现状</w:t>
      </w:r>
      <w:r>
        <w:rPr>
          <w:rFonts w:hint="eastAsia"/>
          <w:sz w:val="20"/>
          <w:szCs w:val="20"/>
        </w:rPr>
        <w:t>，本文提出一种麦克纳姆轮四足移动机械臂及其异构遥操作系统。</w:t>
      </w:r>
      <w:r>
        <w:rPr>
          <w:rFonts w:hint="eastAsia"/>
          <w:sz w:val="20"/>
          <w:szCs w:val="20"/>
          <w:highlight w:val="yellow"/>
          <w:lang w:val="en-US" w:eastAsia="zh-CN"/>
        </w:rPr>
        <w:t>·</w:t>
      </w:r>
      <w:r>
        <w:rPr>
          <w:rFonts w:hint="eastAsia"/>
          <w:color w:val="FF0000"/>
          <w:sz w:val="20"/>
          <w:szCs w:val="20"/>
          <w:highlight w:val="yellow"/>
          <w:lang w:val="en-US" w:eastAsia="zh-CN"/>
        </w:rPr>
        <w:t>四轮足底盘通过力矩前馈和姿态反馈实现控制，</w:t>
      </w:r>
      <w:r>
        <w:rPr>
          <w:rFonts w:hint="eastAsia"/>
          <w:sz w:val="20"/>
          <w:szCs w:val="20"/>
        </w:rPr>
        <w:t>机器人搭载六轴机械臂及末端夹爪，主端采用 Delta 平移机构与三编码器姿态手柄，通过坐标校准、位置缩放和机械臂解析逆运动学，将主手位姿转换为关节指令。最后，通过几何计算与工作空间仿真，分析机械臂与遥操作控制器的工作空间</w:t>
      </w:r>
      <w:r>
        <w:rPr>
          <w:rFonts w:hint="eastAsia"/>
          <w:sz w:val="20"/>
          <w:szCs w:val="20"/>
          <w:highlight w:val="yellow"/>
          <w:lang w:val="en-US" w:eastAsia="zh-CN"/>
        </w:rPr>
        <w:t/>
      </w:r>
      <w:r>
        <w:rPr>
          <w:rFonts w:hint="eastAsia"/>
          <w:color w:val="FF0000"/>
          <w:sz w:val="20"/>
          <w:szCs w:val="20"/>
          <w:highlight w:val="yellow"/>
          <w:lang w:val="en-US" w:eastAsia="zh-CN"/>
        </w:rPr>
        <w:t/>
      </w:r>
      <w:r>
        <w:rPr>
          <w:rFonts w:hint="eastAsia"/>
          <w:sz w:val="20"/>
          <w:szCs w:val="20"/>
        </w:rPr>
        <w:t>，为结构参数选择及主从位姿映射提供依据，并通过机械臂位姿调整、遥操作抓取和连续上台阶演示，展示系统的实际执行效果。</w:t>
      </w:r>
    </w:p>
    <w:p w14:paraId="1B8FE646">
      <w:pPr>
        <w:pStyle w:val="2"/>
        <w:numPr>
          <w:ilvl w:val="0"/>
          <w:numId w:val="0"/>
        </w:numPr>
        <w:snapToGrid w:val="0"/>
      </w:pPr>
      <w:bookmarkStart w:id="2" w:name="iii.-提出的方法proposed-method"/>
      <w:r>
        <w:t>II. 提出的方法</w:t>
      </w:r>
      <w:r>
        <w:rPr>
          <w:rFonts w:hint="eastAsia"/>
        </w:rPr>
        <w:t>（Proposed</w:t>
      </w:r>
      <w:r>
        <w:t xml:space="preserve"> </w:t>
      </w:r>
      <w:r>
        <w:rPr>
          <w:rFonts w:hint="eastAsia"/>
        </w:rPr>
        <w:t>Method）</w:t>
      </w:r>
    </w:p>
    <w:p w14:paraId="33EBB027">
      <w:pPr>
        <w:pStyle w:val="3"/>
        <w:numPr>
          <w:ilvl w:val="1"/>
          <w:numId w:val="0"/>
        </w:numPr>
        <w:snapToGrid w:val="0"/>
      </w:pPr>
      <w:bookmarkStart w:id="3"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系统由机器人端的底盘、机械臂模块和操作者侧的 Delta 遥操作控制器组成，分别承担移动与姿态调节、末端操作和位姿输入</w:t>
      </w:r>
      <w:r>
        <w:rPr>
          <w:rFonts w:hint="eastAsia"/>
          <w:sz w:val="20"/>
          <w:szCs w:val="20"/>
          <w:lang w:val="en-US" w:eastAsia="zh-CN"/>
        </w:rPr>
        <w:t>工作</w:t>
      </w:r>
      <w:r>
        <w:rPr>
          <w:rFonts w:hint="eastAsia"/>
          <w:sz w:val="20"/>
          <w:szCs w:val="20"/>
        </w:rPr>
        <w:t>。机器人端包含十二自由度底盘、六转动关节机械臂及单自由度夹爪，共十九个主动自由度；遥操作主手的三个平移自由度与三个姿态输入自由度单独计数。机器人端与主手的模块划分及主要坐标系如 Fig. 1 所示。</w:t>
      </w:r>
    </w:p>
    <w:p w14:paraId="6F10A101">
      <w:pPr>
        <w:pStyle w:val="7"/>
        <w:numPr>
          <w:ilvl w:val="0"/>
          <w:numId w:val="0"/>
        </w:numPr>
        <w:snapToGrid w:val="0"/>
        <w:rPr>
          <w:rFonts w:hint="default" w:eastAsia="宋体"/>
          <w:sz w:val="20"/>
          <w:lang w:val="en-US" w:eastAsia="zh-CN"/>
        </w:rPr>
      </w:pPr>
      <w:r>
        <w:rPr>
          <w:rFonts w:hint="eastAsia"/>
          <w:sz w:val="20"/>
          <w:szCs w:val="20"/>
        </w:rPr>
        <w:t>底盘采用四轮足构型，每条腿由两个俯仰关节和一个麦克纳姆轮驱动自由度组成。腿部关节调节支撑高度和机身姿态，四个车轮配合实现平面全向运动。</w:t>
      </w:r>
    </w:p>
    <w:p w14:paraId="6F10A102">
      <w:pPr>
        <w:pStyle w:val="7"/>
        <w:numPr>
          <w:ilvl w:val="0"/>
          <w:numId w:val="0"/>
        </w:numPr>
        <w:snapToGrid w:val="0"/>
        <w:rPr>
          <w:rFonts w:hint="default" w:eastAsia="宋体"/>
          <w:sz w:val="20"/>
          <w:lang w:val="en-US" w:eastAsia="zh-CN"/>
        </w:rPr>
      </w:pPr>
      <w:r>
        <w:rPr>
          <w:rFonts w:hint="eastAsia"/>
          <w:sz w:val="20"/>
          <w:szCs w:val="20"/>
        </w:rPr>
        <w:t>机械臂模块安装于底盘上方，由六轴串联机械臂和夹爪组成。机械臂采用肘式臂与球腕结构，并按 Denavit–Hartenberg（DH）法定义关节坐标系；前三个关节主要确定腕心位置，后三个关节确定末端姿态；夹爪的开合自由度用于抓取。</w:t>
      </w:r>
    </w:p>
    <w:p w14:paraId="6F10A103">
      <w:pPr>
        <w:pStyle w:val="7"/>
        <w:numPr>
          <w:ilvl w:val="0"/>
          <w:numId w:val="0"/>
        </w:numPr>
        <w:snapToGrid w:val="0"/>
        <w:rPr>
          <w:sz w:val="20"/>
        </w:rPr>
      </w:pPr>
      <w:r>
        <w:rPr>
          <w:rFonts w:hint="eastAsia"/>
          <w:sz w:val="20"/>
          <w:szCs w:val="20"/>
        </w:rPr>
        <w:t>遥操作控制器作为主手，以三支链 Delta 并联机构测量三维位置，以安装在动平台上的三编码器手柄测量姿态。</w:t>
      </w:r>
      <w:r>
        <w:rPr>
          <w:rFonts w:hint="eastAsia"/>
          <w:color w:val="FF0000"/>
          <w:sz w:val="20"/>
          <w:szCs w:val="20"/>
          <w:highlight w:val="yellow"/>
        </w:rPr>
        <w:t>主手</w:t>
      </w:r>
      <w:r>
        <w:rPr>
          <w:rFonts w:hint="eastAsia"/>
          <w:sz w:val="20"/>
          <w:szCs w:val="20"/>
        </w:rPr>
        <w:t>通过正运动学获得位置和姿态，并经无线链路向作为从手的机械臂发送位姿指令；主手的力矩前馈用于补偿自身重力，减轻静态持握负担。</w:t>
      </w:r>
    </w:p>
    <w:tbl>
      <w:tblPr>
        <w:tblW w:w="4800" w:type="dxa"/>
        <w:jc w:val="center"/>
        <w:tblBorders>
          <w:top w:val="nil"/>
          <w:left w:val="nil"/>
          <w:bottom w:val="nil"/>
          <w:right w:val="nil"/>
          <w:insideH w:val="nil"/>
          <w:insideV w:val="nil"/>
        </w:tblBorders>
        <w:tblLayout w:type="fixed"/>
        <w:tblCellMar>
          <w:top w:w="0" w:type="dxa"/>
          <w:left w:w="30" w:type="dxa"/>
          <w:bottom w:w="0" w:type="dxa"/>
          <w:right w:w="30" w:type="dxa"/>
        </w:tblCellMar>
      </w:tblPr>
      <w:tblGrid>
        <w:gridCol w:w="2400"/>
        <w:gridCol w:w="2400"/>
      </w:tblGrid>
      <w:tr>
        <w:trPr>
          <w:cantSplit/>
        </w:trPr>
        <w:tc>
          <w:tcPr>
            <w:tcW w:w="2400" w:type="dxa"/>
            <w:vAlign w:val="center"/>
          </w:tcPr>
          <w:p w14:paraId="6F100001">
            <w:pPr>
              <w:keepNext/>
              <w:keepLines/>
              <w:numPr>
                <w:ilvl w:val="0"/>
                <w:numId w:val="0"/>
              </w:numPr>
              <w:snapToGrid w:val="0"/>
              <w:spacing w:before="60" w:after="60" w:line="240" w:lineRule="auto"/>
              <w:ind w:left="0" w:right="0" w:firstLine="0"/>
              <w:jc w:val="center"/>
            </w:pPr>
            <w:r>
              <w:drawing>
                <wp:inline distT="0" distB="0" distL="0" distR="0">
                  <wp:extent cx="1476000" cy="1508113"/>
                  <wp:effectExtent l="0" t="0" r="0" b="0"/>
                  <wp:docPr id="32" name="Fig. 1" descr="Whole-robot modules and world, body, leg and arm DH base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 1" descr="Whole-robot modules and world, body, leg and arm DH base coordinate frames"/>
                          <pic:cNvPicPr>
                            <a:picLocks noChangeAspect="1"/>
                          </pic:cNvPicPr>
                        </pic:nvPicPr>
                        <pic:blipFill>
                          <a:blip r:embed="rId4"/>
                          <a:stretch>
                            <a:fillRect/>
                          </a:stretch>
                        </pic:blipFill>
                        <pic:spPr>
                          <a:xfrm>
                            <a:off x="0" y="0"/>
                            <a:ext cx="1476000" cy="1508113"/>
                          </a:xfrm>
                          <a:prstGeom prst="rect">
                            <a:avLst/>
                          </a:prstGeom>
                        </pic:spPr>
                      </pic:pic>
                    </a:graphicData>
                  </a:graphic>
                </wp:inline>
              </w:drawing>
            </w:r>
          </w:p>
        </w:tc>
        <w:tc>
          <w:tcPr>
            <w:tcW w:w="2400" w:type="dxa"/>
            <w:vAlign w:val="center"/>
          </w:tcPr>
          <w:p w14:paraId="6F100004">
            <w:pPr>
              <w:keepNext/>
              <w:keepLines/>
              <w:numPr>
                <w:ilvl w:val="0"/>
                <w:numId w:val="0"/>
              </w:numPr>
              <w:snapToGrid w:val="0"/>
              <w:spacing w:before="60" w:after="60" w:line="240" w:lineRule="auto"/>
              <w:ind w:left="0" w:right="0" w:firstLine="0"/>
              <w:jc w:val="center"/>
            </w:pPr>
            <w:r>
              <w:drawing>
                <wp:inline distT="0" distB="0" distL="0" distR="0">
                  <wp:extent cx="1476000" cy="1870837"/>
                  <wp:effectExtent l="0" t="0" r="0" b="0"/>
                  <wp:docPr id="33" name="Fig. 1(b)" descr="Teleoperation controller, Delta robot and three-axis handle with base fram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 1(b)" descr="Teleoperation controller, Delta robot and three-axis handle with base frame D"/>
                          <pic:cNvPicPr>
                            <a:picLocks noChangeAspect="1"/>
                          </pic:cNvPicPr>
                        </pic:nvPicPr>
                        <pic:blipFill>
                          <a:blip r:embed="rId5"/>
                          <a:stretch>
                            <a:fillRect/>
                          </a:stretch>
                        </pic:blipFill>
                        <pic:spPr>
                          <a:xfrm>
                            <a:off x="0" y="0"/>
                            <a:ext cx="1476000" cy="1870837"/>
                          </a:xfrm>
                          <a:prstGeom prst="rect">
                            <a:avLst/>
                          </a:prstGeom>
                        </pic:spPr>
                      </pic:pic>
                    </a:graphicData>
                  </a:graphic>
                </wp:inline>
              </w:drawing>
            </w:r>
          </w:p>
        </w:tc>
      </w:tr>
      <w:tr>
        <w:trPr>
          <w:cantSplit/>
        </w:trPr>
        <w:tc>
          <w:tcPr>
            <w:tcW w:w="2400" w:type="dxa"/>
            <w:vAlign w:val="center"/>
          </w:tcPr>
          <w:p w14:paraId="6F100003">
            <w:pPr>
              <w:keepNext/>
              <w:keepLines/>
              <w:numPr>
                <w:ilvl w:val="0"/>
                <w:numId w:val="0"/>
              </w:numPr>
              <w:snapToGrid w:val="0"/>
              <w:spacing w:before="0" w:after="60"/>
              <w:ind w:left="0" w:right="0" w:firstLine="0"/>
              <w:jc w:val="center"/>
            </w:pPr>
            <w:r>
              <w:rPr>
                <w:rFonts w:ascii="Times New Roman" w:hAnsi="Times New Roman"/>
                <w:sz w:val="18"/>
                <w:szCs w:val="18"/>
              </w:rPr>
              <w:t>(a) Robot</w:t>
            </w:r>
          </w:p>
        </w:tc>
        <w:tc>
          <w:tcPr>
            <w:tcW w:w="2400" w:type="dxa"/>
            <w:vAlign w:val="center"/>
          </w:tcPr>
          <w:p w14:paraId="6F100005">
            <w:pPr>
              <w:keepNext/>
              <w:keepLines/>
              <w:numPr>
                <w:ilvl w:val="0"/>
                <w:numId w:val="0"/>
              </w:numPr>
              <w:snapToGrid w:val="0"/>
              <w:spacing w:before="0" w:after="60"/>
              <w:ind w:left="0" w:right="0" w:firstLine="0"/>
              <w:jc w:val="center"/>
            </w:pPr>
            <w:r>
              <w:rPr>
                <w:rFonts w:ascii="Times New Roman" w:hAnsi="Times New Roman"/>
                <w:sz w:val="18"/>
                <w:szCs w:val="18"/>
              </w:rPr>
              <w:t>(b) Teleoperation controller</w:t>
            </w:r>
          </w:p>
        </w:tc>
      </w:tr>
    </w:tbl>
    <w:p w14:paraId="6F100002">
      <w:pPr>
        <w:pStyle w:val="18"/>
        <w:keepLines/>
        <w:numPr>
          <w:ilvl w:val="0"/>
          <w:numId w:val="0"/>
        </w:numPr>
        <w:snapToGrid w:val="0"/>
      </w:pPr>
      <w:r>
        <w:t>Fig. 1. 系统模块划分与坐标系。（a）机器人端：橙色和青色分别表示机械臂模块、底盘模块；{s} 为惯性系，{b} 位于基座中心，{leg} 位于图示腿的髋关节，{0} 为机械臂 DH 基坐标系，图示前方朝右。（b）遥操作控制器：紫色区域标记整个主手，较淡的蓝色和橙色区域分别标记 Delta 机械臂和三轴手柄；{D} 的原点 O 位于静平台中心，P 为动平台中心。各坐标系均采用右手约定。</w:t>
      </w:r>
    </w:p>
    <w:p w14:paraId="06F7C4A3">
      <w:pPr>
        <w:pStyle w:val="7"/>
        <w:numPr>
          <w:ilvl w:val="0"/>
          <w:numId w:val="0"/>
        </w:numPr>
        <w:snapToGrid w:val="0"/>
        <w:rPr>
          <w:sz w:val="20"/>
        </w:rPr>
      </w:pPr>
      <w:r>
        <w:rPr>
          <w:rFonts w:hint="eastAsia"/>
          <w:sz w:val="20"/>
          <w:szCs w:val="20"/>
        </w:rPr>
        <w:t>整机控制流程如 Fig. 2 所示。底盘接收期望平动速度、加速度、基准高度及滚转、俯仰姿态角，分为关节控制器、麦克纳姆轮控制器和模型前馈三路。姿态角度—角速度双环比例（proportional，P）控制器根据惯性测量单元（inertial measurement unit，IMU）的反馈产生等效腿长增量，经累加、腿高分配和腿部逆运动学得到目标关节角，再由单关节位置—速度串级比例–积分–微分（proportional–integral–derivative，PID）控制输出控制力矩；麦克纳姆轮运动学给出轮电机目标速度，由速度环 PID 输出控制力矩。前馈侧先由单刚体动力学分配期望足端力，再经轮体动力学与腿部连杆力映射得到电机前馈力矩。关节和轮电机分别将控制器输出与对应前馈力矩相加。</w:t>
      </w:r>
    </w:p>
    <w:p w14:paraId="6F10A104">
      <w:pPr>
        <w:pStyle w:val="7"/>
        <w:numPr>
          <w:ilvl w:val="0"/>
          <w:numId w:val="0"/>
        </w:numPr>
        <w:snapToGrid w:val="0"/>
        <w:rPr>
          <w:sz w:val="20"/>
        </w:rPr>
      </w:pPr>
      <w:r>
        <w:rPr>
          <w:rFonts w:hint="eastAsia"/>
          <w:sz w:val="20"/>
          <w:szCs w:val="20"/>
        </w:rPr>
        <w:t>机械臂控制链以主手位姿为输入，经位置缩放和姿态转换构造从端目标齐次变换矩阵，再由解析逆运动学生成六轴关节目标。关节层根据编码器反馈进行位置—速度串级控制，并叠加机械臂重力前馈。由此，主手在笛卡尔空间描述操作意图，机械臂在关节空间执行指令；底盘依据自身运动指令与 IMU、编码器反馈完成移动和支撑调节。</w:t>
      </w:r>
    </w:p>
    <w:p w14:paraId="11FB4EBB">
      <w:pPr>
        <w:keepNext/>
        <w:keepLines/>
        <w:numPr>
          <w:ilvl w:val="0"/>
          <w:numId w:val="0"/>
        </w:numPr>
        <w:snapToGrid w:val="0"/>
        <w:spacing w:before="60" w:after="60" w:line="240" w:lineRule="auto"/>
        <w:ind w:left="0" w:right="0" w:firstLine="0"/>
        <w:jc w:val="center"/>
      </w:pPr>
      <w:r>
        <w:drawing>
          <wp:inline distT="0" distB="0" distL="0" distR="0">
            <wp:extent cx="3059430" cy="7368540"/>
            <wp:effectExtent l="0" t="0" r="7620" b="3810"/>
            <wp:docPr id="31" name="Fig. 2"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 2" descr="整机控制流程：遥操作与机械臂控制、底盘控制及测量反馈"/>
                    <pic:cNvPicPr>
                      <a:picLocks noChangeAspect="1"/>
                    </pic:cNvPicPr>
                  </pic:nvPicPr>
                  <pic:blipFill>
                    <a:blip r:embed="rId6"/>
                    <a:stretch>
                      <a:fillRect/>
                    </a:stretch>
                  </pic:blipFill>
                  <pic:spPr>
                    <a:xfrm>
                      <a:off x="0" y="0"/>
                      <a:ext cx="3060000" cy="7368980"/>
                    </a:xfrm>
                    <a:prstGeom prst="rect">
                      <a:avLst/>
                    </a:prstGeom>
                  </pic:spPr>
                </pic:pic>
              </a:graphicData>
            </a:graphic>
          </wp:inline>
        </w:drawing>
      </w:r>
    </w:p>
    <w:p w14:paraId="4CFCF1DB">
      <w:pPr>
        <w:pStyle w:val="18"/>
        <w:numPr>
          <w:ilvl w:val="0"/>
          <w:numId w:val="0"/>
        </w:numPr>
        <w:snapToGrid w:val="0"/>
      </w:pPr>
      <w:r>
        <w:rPr>
          <w:rFonts w:hint="eastAsia"/>
        </w:rPr>
        <w:t>Fig. 2. 整机控制流程。（a）遥操作位姿映射与机械臂控制。（b）底盘关节控制、麦克纳姆轮控制及前馈三路结构；单刚体动力学得到期望足端力，经轮体动力学与腿部连杆力映射得到电机前馈力矩。关节与轮电机分别将控制器输出和前馈力矩相加。实线为前向信号路径，虚线为测量反馈；FF 表示前馈（feedforward）。</w:t>
      </w:r>
    </w:p>
    <w:p w14:paraId="0BA7822D">
      <w:pPr>
        <w:pStyle w:val="7"/>
        <w:numPr>
          <w:ilvl w:val="0"/>
          <w:numId w:val="0"/>
        </w:numPr>
        <w:snapToGrid w:val="0"/>
        <w:rPr>
          <w:sz w:val="20"/>
        </w:rPr>
      </w:pPr>
      <w:r>
        <w:rPr>
          <w:rFonts w:hint="eastAsia"/>
          <w:color w:val="FF0000"/>
          <w:sz w:val="20"/>
          <w:szCs w:val="20"/>
          <w:lang w:val="en-US" w:eastAsia="zh-CN"/>
        </w:rPr>
        <w:t>为方便</w:t>
      </w:r>
      <w:r>
        <w:rPr>
          <w:rFonts w:hint="eastAsia"/>
          <w:sz w:val="20"/>
          <w:szCs w:val="20"/>
          <w:lang w:val="en-US" w:eastAsia="zh-CN"/>
        </w:rPr>
        <w:t>接下来</w:t>
      </w:r>
      <w:r>
        <w:rPr>
          <w:rFonts w:hint="eastAsia" w:ascii="Times New Roman" w:hAnsi="Times New Roman" w:eastAsia="宋体"/>
          <w:sz w:val="20"/>
          <w:szCs w:val="20"/>
          <w:lang w:val="en-US" w:eastAsia="zh-CN"/>
        </w:rPr>
        <w:t>对控制流程展开进一步详细描述，采用以下约定：</w:t>
      </w:r>
      <w:r>
        <w:rPr>
          <w:rFonts w:hint="eastAsia"/>
          <w:sz w:val="20"/>
          <w:szCs w:val="20"/>
        </w:rPr>
        <w:t>标量采用斜体，矢量采用粗斜体，矩阵采用粗正体；描</w:t>
      </w:r>
      <w:r>
        <w:rPr>
          <w:rFonts w:hint="eastAsia" w:ascii="Times New Roman" w:hAnsi="Times New Roman" w:eastAsia="宋体"/>
          <w:sz w:val="20"/>
          <w:szCs w:val="20"/>
        </w:rPr>
        <w:t>述性下标、单位和函数名称采用正体。上标</w:t>
      </w:r>
      <w:r>
        <w:rPr>
          <w:rFonts w:ascii="Times New Roman" w:hAnsi="Times New Roman" w:eastAsia="宋体"/>
          <w:sz w:val="20"/>
          <w:szCs w:val="20"/>
        </w:rPr>
        <w:t xml:space="preserve"> </w:t>
      </w:r>
      <m:oMath>
        <m:r>
          <m:rPr>
            <m:sty m:val="p"/>
          </m:rPr>
          <w:rPr>
            <w:rFonts w:ascii="Times New Roman" w:hAnsi="Times New Roman" w:eastAsia="宋体"/>
            <w:sz w:val="20"/>
            <w:szCs w:val="20"/>
          </w:rPr>
          <m:t>T</m:t>
        </m:r>
      </m:oMath>
      <w:r>
        <w:rPr>
          <w:rFonts w:ascii="Times New Roman" w:hAnsi="Times New Roman" w:eastAsia="宋体"/>
          <w:sz w:val="20"/>
          <w:szCs w:val="20"/>
        </w:rPr>
        <w:t xml:space="preserve"> </w:t>
      </w:r>
      <w:r>
        <w:rPr>
          <w:rFonts w:hint="eastAsia" w:ascii="Times New Roman" w:hAnsi="Times New Roman" w:eastAsia="宋体"/>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r>
        <w:rPr>
          <w:rFonts w:ascii="Times New Roman" w:hAnsi="Times New Roman" w:eastAsia="宋体"/>
          <w:sz w:val="20"/>
          <w:szCs w:val="20"/>
        </w:rPr>
        <w:t>点号表示对时间求导，带期望标记时表示对应导数量的参考值；</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ascii="Times New Roman" w:hAnsi="Times New Roman" w:eastAsia="宋体"/>
          <w:sz w:val="20"/>
          <w:szCs w:val="20"/>
        </w:rPr>
        <w:t xml:space="preserve"> 分别表示所在坐标系的三个坐标轴单位矢量。</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w:t>
      </w:r>
      <w:r>
        <w:rPr>
          <w:rFonts w:hint="eastAsia"/>
          <w:sz w:val="20"/>
          <w:szCs w:val="20"/>
          <w:highlight w:val="none"/>
          <w:lang w:val="en-US" w:eastAsia="zh-CN"/>
        </w:rPr>
        <w:t>{s}</w:t>
      </w:r>
      <w:r>
        <w:rPr>
          <w:rFonts w:hint="eastAsia"/>
          <w:sz w:val="20"/>
          <w:szCs w:val="20"/>
        </w:rPr>
        <w:t>。</w:t>
      </w:r>
    </w:p>
    <w:p w14:paraId="6F10A105">
      <w:pPr>
        <w:pStyle w:val="7"/>
        <w:numPr>
          <w:ilvl w:val="0"/>
          <w:numId w:val="0"/>
        </w:numPr>
        <w:snapToGrid w:val="0"/>
        <w:rPr>
          <w:sz w:val="20"/>
        </w:rPr>
      </w:pPr>
      <w:r>
        <w:rPr>
          <w:rFonts w:hint="eastAsia"/>
          <w:sz w:val="20"/>
          <w:szCs w:val="20"/>
        </w:rPr>
        <w:t>机械臂 DH 基坐标系 {0} 位于机械臂底座安装基准处，固连于机器人端；遥操作映射中的从端基坐标系 {A} 与 {0} 表示同一坐标系。主手基坐标系 {D} 固连 D</w:t>
      </w:r>
      <w:r>
        <w:rPr>
          <w:rFonts w:hint="eastAsia" w:ascii="Times New Roman" w:hAnsi="Times New Roman" w:eastAsia="宋体"/>
          <w:sz w:val="20"/>
          <w:szCs w:val="20"/>
        </w:rPr>
        <w:t>elta 静平台，原点位于静平台中心，轴向按 II-D 节定义。主手位姿经坐标变换后</w:t>
      </w:r>
      <w:r>
        <w:rPr>
          <w:rFonts w:hint="eastAsia" w:ascii="Times New Roman" w:hAnsi="Times New Roman" w:eastAsia="宋体"/>
          <w:sz w:val="20"/>
          <w:szCs w:val="20"/>
          <w:lang w:val="en-US" w:eastAsia="zh-CN"/>
        </w:rPr>
        <w:t>再</w:t>
      </w:r>
      <w:r>
        <w:rPr>
          <w:rFonts w:hint="eastAsia" w:ascii="Times New Roman" w:hAnsi="Times New Roman" w:eastAsia="宋体"/>
          <w:sz w:val="20"/>
          <w:szCs w:val="20"/>
        </w:rPr>
        <w:t>用于从端逆运动学。</w:t>
      </w:r>
    </w:p>
    <w:bookmarkEnd w:id="3"/>
    <w:p w14:paraId="74A6E45F">
      <w:pPr>
        <w:pStyle w:val="3"/>
        <w:numPr>
          <w:ilvl w:val="1"/>
          <w:numId w:val="0"/>
        </w:numPr>
        <w:snapToGrid w:val="0"/>
      </w:pPr>
      <w:bookmarkStart w:id="4" w:name="b.-底盘模块"/>
      <w:r>
        <w:t xml:space="preserve">B. </w:t>
      </w:r>
      <w:r>
        <w:rPr>
          <w:rFonts w:hint="eastAsia"/>
        </w:rPr>
        <w:t>底盘模块</w:t>
      </w:r>
    </w:p>
    <w:p w14:paraId="05A1A8C5">
      <w:pPr>
        <w:pStyle w:val="4"/>
        <w:numPr>
          <w:ilvl w:val="2"/>
          <w:numId w:val="0"/>
        </w:numPr>
        <w:snapToGrid w:val="0"/>
      </w:pPr>
      <w:bookmarkStart w:id="5" w:name="概述与单腿运动学"/>
      <w:r>
        <w:t>1) 概述</w:t>
      </w:r>
    </w:p>
    <w:p w14:paraId="611F275C">
      <w:pPr>
        <w:pStyle w:val="7"/>
        <w:numPr>
          <w:ilvl w:val="0"/>
          <w:numId w:val="0"/>
        </w:numPr>
        <w:snapToGrid w:val="0"/>
        <w:rPr>
          <w:rFonts w:hint="eastAsia"/>
          <w:sz w:val="20"/>
          <w:szCs w:val="20"/>
        </w:rPr>
      </w:pPr>
      <w:r>
        <w:rPr>
          <w:rFonts w:hint="eastAsia"/>
          <w:sz w:val="20"/>
          <w:szCs w:val="20"/>
        </w:rPr>
        <w:t>底盘由基座与四条腿组成，每条腿包含轴线平行的髋部俯仰关节、膝关节和一个麦克纳姆轮，共十二个主动自由度。前后腿采用相同的几何参数，左右腿呈镜像布置。机身采用上下分层框架，上层以碳纤维方管和碳纤维板件构成承载结构，下层采用铝方管，并在框架内部布置电源、电气元件、线束及机械臂基座传动组件。底部导向滚轮用于辅助接触过渡并减少底面刮擦。</w:t>
      </w:r>
    </w:p>
    <w:p w14:paraId="7A110001">
      <w:pPr>
        <w:pStyle w:val="7"/>
        <w:numPr>
          <w:ilvl w:val="0"/>
          <w:numId w:val="0"/>
        </w:numPr>
        <w:snapToGrid w:val="0"/>
        <w:rPr>
          <w:sz w:val="20"/>
        </w:rPr>
      </w:pPr>
      <w:r>
        <w:rPr>
          <w:rFonts w:hint="eastAsia"/>
          <w:sz w:val="20"/>
          <w:szCs w:val="20"/>
          <w:lang w:eastAsia="zh-CN"/>
        </w:rPr>
        <w:t>髋、膝关节电机</w:t>
      </w:r>
      <w:r>
        <w:rPr>
          <w:rFonts w:hint="eastAsia"/>
          <w:sz w:val="20"/>
          <w:szCs w:val="20"/>
        </w:rPr>
        <w:t>同轴集中布置于髋部，其中</w:t>
      </w:r>
      <w:r>
        <w:rPr>
          <w:rFonts w:hint="eastAsia"/>
          <w:sz w:val="20"/>
          <w:szCs w:val="20"/>
          <w:lang w:eastAsia="zh-CN"/>
        </w:rPr>
        <w:t>髋关节电机</w:t>
      </w:r>
      <w:r>
        <w:rPr>
          <w:rFonts w:hint="eastAsia"/>
          <w:sz w:val="20"/>
          <w:szCs w:val="20"/>
        </w:rPr>
        <w:t>直接驱动大腿，</w:t>
      </w:r>
      <w:r>
        <w:rPr>
          <w:rFonts w:hint="eastAsia"/>
          <w:sz w:val="20"/>
          <w:szCs w:val="20"/>
          <w:lang w:eastAsia="zh-CN"/>
        </w:rPr>
        <w:t>膝关节电机</w:t>
      </w:r>
      <w:r>
        <w:rPr>
          <w:rFonts w:hint="eastAsia"/>
          <w:sz w:val="20"/>
          <w:szCs w:val="20"/>
        </w:rPr>
        <w:t>通过平行四</w:t>
      </w:r>
      <w:r>
        <w:rPr>
          <w:rFonts w:ascii="Times New Roman" w:hAnsi="Times New Roman" w:eastAsia="宋体"/>
          <w:sz w:val="20"/>
          <w:szCs w:val="20"/>
        </w:rPr>
        <w:t>边形连杆向小腿传递运动与力矩</w:t>
      </w:r>
      <w:r>
        <w:rPr>
          <w:rFonts w:hint="eastAsia"/>
          <w:sz w:val="20"/>
          <w:szCs w:val="20"/>
        </w:rPr>
        <w:t>。</w:t>
      </w:r>
      <w:r>
        <w:rPr>
          <w:rFonts w:ascii="Times New Roman" w:hAnsi="Times New Roman" w:eastAsia="宋体"/>
          <w:sz w:val="20"/>
          <w:szCs w:val="20"/>
        </w:rPr>
        <w:t>该布置使膝部无需安装随腿摆动的驱动电机，</w:t>
      </w:r>
      <w:r>
        <w:rPr>
          <w:rFonts w:hint="eastAsia"/>
          <w:sz w:val="20"/>
          <w:szCs w:val="20"/>
        </w:rPr>
        <w:t>减小小腿运动时的惯性负担</w:t>
      </w:r>
      <w:r>
        <w:rPr>
          <w:rFonts w:hint="eastAsia"/>
          <w:sz w:val="20"/>
          <w:szCs w:val="20"/>
          <w:lang w:eastAsia="zh-CN"/>
        </w:rPr>
        <w:t>，</w:t>
      </w:r>
      <w:r>
        <w:rPr>
          <w:rFonts w:ascii="Times New Roman" w:hAnsi="Times New Roman" w:eastAsia="宋体"/>
          <w:sz w:val="20"/>
          <w:szCs w:val="20"/>
        </w:rPr>
        <w:t>并使轮心定位可采用等效二转动关节模型描述。</w:t>
      </w:r>
    </w:p>
    <w:p w14:paraId="7A110002">
      <w:pPr>
        <w:pStyle w:val="7"/>
        <w:numPr>
          <w:ilvl w:val="0"/>
          <w:numId w:val="0"/>
        </w:numPr>
        <w:snapToGrid w:val="0"/>
        <w:rPr>
          <w:sz w:val="20"/>
        </w:rPr>
      </w:pPr>
      <w:r>
        <w:rPr>
          <w:rFonts w:ascii="Times New Roman" w:hAnsi="Times New Roman" w:eastAsia="宋体"/>
          <w:sz w:val="20"/>
          <w:szCs w:val="20"/>
        </w:rPr>
        <w:t>控制采用“单腿建模—整机合力分配—关节执行”的分层结构。腿部关节调整支撑高度与前后轮心位置，车轮负责平面滚动。</w:t>
      </w:r>
    </w:p>
    <w:p w14:paraId="6F10B002">
      <w:pPr>
        <w:pStyle w:val="4"/>
        <w:numPr>
          <w:ilvl w:val="2"/>
          <w:numId w:val="0"/>
        </w:numPr>
        <w:snapToGrid w:val="0"/>
      </w:pPr>
      <w:r>
        <w:t>2) 单腿运动学</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。本文以轮轴中心作为单腿运动学的末端参考点，并与轮地触点区分。零位为两连杆沿腿基系负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3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3"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3" descr="单腿结构与坐标系示意图"/>
                    <pic:cNvPicPr>
                      <a:picLocks noChangeAspect="1"/>
                    </pic:cNvPicPr>
                  </pic:nvPicPr>
                  <pic:blipFill>
                    <a:blip r:embed="rId7"/>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3. </w:t>
      </w:r>
      <w:r>
        <w:rPr>
          <w:rFonts w:hint="eastAsia"/>
          <w:iCs/>
        </w:rPr>
        <w:t>单腿结构与坐标系示意（图中角度标记表示机构几何关系，解算零位以正文为准）。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w:t>
            </w:r>
          </w:p>
        </w:tc>
      </w:tr>
      <w:tr w14:paraId="336D580A">
        <w:tblPrEx>
          <w:tblCellMar>
            <w:top w:w="0" w:type="dxa"/>
            <w:left w:w="108" w:type="dxa"/>
            <w:bottom w:w="0" w:type="dxa"/>
            <w:right w:w="108" w:type="dxa"/>
          </w:tblCellMar>
        </w:tblPrEx>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jc w:val="center"/>
              <w:rPr>
                <w:sz w:val="16"/>
              </w:rPr>
            </w:pPr>
            <w:r>
              <w:rPr>
                <w:rFonts w:hint="eastAsia" w:hAnsi="Cambria Math" w:cs="Cambria Math"/>
                <w:b w:val="0"/>
                <w:i w:val="0"/>
                <w:sz w:val="16"/>
                <w:szCs w:val="16"/>
                <w:lang w:val="en-US" w:eastAsia="zh-CN"/>
              </w:rPr>
              <w:t>0.07 </w:t>
            </w:r>
            <m:oMath>
              <m:r>
                <m:rPr>
                  <m:sty m:val="p"/>
                </m:rPr>
                <w:rPr>
                  <w:rFonts w:ascii="Cambria Math" w:hAnsi="Cambria Math" w:eastAsia="Cambria Math" w:cs="Cambria Math"/>
                  <w:sz w:val="16"/>
                  <w:szCs w:val="16"/>
                </w:rPr>
                <m:t>m</m:t>
              </m:r>
            </m:oMath>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采用轮心位于髋部下方的几何逆解分支，定义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rFonts w:hint="eastAsia" w:eastAsia="宋体"/>
          <w:sz w:val="20"/>
          <w:lang w:eastAsia="zh-CN"/>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hAnsi="Cambria Math" w:cs="Cambria Math"/>
          <w:i w:val="0"/>
          <w:sz w:val="20"/>
          <w:szCs w:val="20"/>
          <w:lang w:eastAsia="zh-CN"/>
        </w:rPr>
        <w:t>。</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5"/>
    </w:tbl>
    <w:p w14:paraId="0DA70F03">
      <w:pPr>
        <w:pStyle w:val="4"/>
        <w:numPr>
          <w:ilvl w:val="2"/>
          <w:numId w:val="0"/>
        </w:numPr>
        <w:snapToGrid w:val="0"/>
      </w:pPr>
      <w:bookmarkStart w:id="6" w:name="麦克纳姆轮运动学"/>
      <w:r>
        <w:t>3) 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4 </w:t>
      </w:r>
      <w:r>
        <w:rPr>
          <w:rFonts w:hint="eastAsia"/>
          <w:sz w:val="20"/>
          <w:szCs w:val="20"/>
        </w:rPr>
        <w:t>给出两种轮体结构。与普通车轮相比，被动辊子允许接触点沿特定方向运动，四轮适当配置后可产生前进、侧移和偏航运动。</w:t>
      </w:r>
    </w:p>
    <w:tbl>
      <w:tblPr>
        <w:tblStyle w:val="10"/>
        <w:tblW w:w="47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40" w:type="dxa"/>
          <w:bottom w:w="0" w:type="dxa"/>
          <w:right w:w="40" w:type="dxa"/>
        </w:tblCellMar>
      </w:tblPr>
      <w:tblGrid>
        <w:gridCol w:w="2380"/>
        <w:gridCol w:w="2380"/>
      </w:tblGrid>
      <w:tr w14:paraId="3EC7A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cantSplit/>
          <w:jc w:val="center"/>
        </w:trPr>
        <w:tc>
          <w:tcPr>
            <w:tcW w:w="2380" w:type="dxa"/>
            <w:vAlign w:val="top"/>
          </w:tcPr>
          <w:p w14:paraId="0565082C">
            <w:pPr>
              <w:keepNext/>
              <w:numPr>
                <w:ilvl w:val="0"/>
                <w:numId w:val="0"/>
              </w:numPr>
              <w:snapToGrid w:val="0"/>
              <w:spacing w:before="0" w:after="40" w:line="240" w:lineRule="auto"/>
              <w:ind w:left="0" w:right="0" w:firstLine="0"/>
              <w:jc w:val="center"/>
            </w:pPr>
            <w:r>
              <w:drawing>
                <wp:inline distT="0" distB="0" distL="0" distR="0">
                  <wp:extent cx="1439545" cy="467995"/>
                  <wp:effectExtent l="0" t="0" r="5080" b="6985"/>
                  <wp:docPr id="20" name="Picture" descr="Fig. 4(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4(a). A 型麦克纳姆轮结构。"/>
                          <pic:cNvPicPr>
                            <a:picLocks noChangeAspect="1" noChangeArrowheads="1"/>
                          </pic:cNvPicPr>
                        </pic:nvPicPr>
                        <pic:blipFill>
                          <a:blip r:embed="rId8"/>
                          <a:srcRect l="4706" t="17564" r="8015" b="15381"/>
                          <a:stretch>
                            <a:fillRect/>
                          </a:stretch>
                        </pic:blipFill>
                        <pic:spPr>
                          <a:xfrm>
                            <a:off x="0" y="0"/>
                            <a:ext cx="1440000" cy="468623"/>
                          </a:xfrm>
                          <a:prstGeom prst="rect">
                            <a:avLst/>
                          </a:prstGeom>
                          <a:noFill/>
                          <a:ln w="9525">
                            <a:noFill/>
                          </a:ln>
                        </pic:spPr>
                      </pic:pic>
                    </a:graphicData>
                  </a:graphic>
                </wp:inline>
              </w:drawing>
            </w:r>
          </w:p>
          <w:p w14:paraId="3C3A4174">
            <w:pPr>
              <w:pStyle w:val="18"/>
              <w:numPr>
                <w:ilvl w:val="0"/>
                <w:numId w:val="0"/>
              </w:numPr>
              <w:snapToGrid w:val="0"/>
              <w:spacing w:before="0" w:after="40" w:line="240" w:lineRule="auto"/>
              <w:ind w:left="0" w:right="0" w:firstLine="0"/>
              <w:jc w:val="center"/>
            </w:pPr>
            <w:r>
              <w:t xml:space="preserve">Fig. 4(a). A </w:t>
            </w:r>
            <w:r>
              <w:rPr>
                <w:rFonts w:hint="eastAsia"/>
              </w:rPr>
              <w:t>型麦克纳姆轮结构。</w:t>
            </w:r>
          </w:p>
        </w:tc>
        <w:tc>
          <w:tcPr>
            <w:tcW w:w="2380" w:type="dxa"/>
            <w:vAlign w:val="top"/>
          </w:tcPr>
          <w:p w14:paraId="37442ACE">
            <w:pPr>
              <w:keepNext/>
              <w:numPr>
                <w:ilvl w:val="0"/>
                <w:numId w:val="0"/>
              </w:numPr>
              <w:snapToGrid w:val="0"/>
              <w:spacing w:before="0" w:after="40" w:line="240" w:lineRule="auto"/>
              <w:ind w:left="0" w:right="0" w:firstLine="0"/>
              <w:jc w:val="center"/>
            </w:pPr>
            <w:r>
              <w:drawing>
                <wp:inline distT="0" distB="0" distL="0" distR="0">
                  <wp:extent cx="1439545" cy="461010"/>
                  <wp:effectExtent l="0" t="0" r="0" b="0"/>
                  <wp:docPr id="23" name="Picture" descr="Fig. 4(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4(b). B 型麦克纳姆轮结构。"/>
                          <pic:cNvPicPr>
                            <a:picLocks noChangeAspect="1" noChangeArrowheads="1"/>
                          </pic:cNvPicPr>
                        </pic:nvPicPr>
                        <pic:blipFill>
                          <a:blip r:embed="rId9"/>
                          <a:stretch>
                            <a:fillRect/>
                          </a:stretch>
                        </pic:blipFill>
                        <pic:spPr>
                          <a:xfrm>
                            <a:off x="0" y="0"/>
                            <a:ext cx="1440000" cy="461356"/>
                          </a:xfrm>
                          <a:prstGeom prst="rect">
                            <a:avLst/>
                          </a:prstGeom>
                          <a:noFill/>
                          <a:ln w="9525">
                            <a:noFill/>
                          </a:ln>
                        </pic:spPr>
                      </pic:pic>
                    </a:graphicData>
                  </a:graphic>
                </wp:inline>
              </w:drawing>
            </w:r>
          </w:p>
          <w:p w14:paraId="3CC11875">
            <w:pPr>
              <w:pStyle w:val="18"/>
              <w:numPr>
                <w:ilvl w:val="0"/>
                <w:numId w:val="0"/>
              </w:numPr>
              <w:snapToGrid w:val="0"/>
              <w:spacing w:before="0" w:after="40" w:line="240" w:lineRule="auto"/>
              <w:ind w:left="0" w:right="0" w:firstLine="0"/>
              <w:jc w:val="center"/>
            </w:pPr>
            <w:r>
              <w:t xml:space="preserve">Fig. 4(b). B </w:t>
            </w:r>
            <w:r>
              <w:rPr>
                <w:rFonts w:hint="eastAsia"/>
              </w:rPr>
              <w:t>型麦克纳姆轮结构。</w:t>
            </w:r>
          </w:p>
        </w:tc>
      </w:tr>
    </w:tbl>
    <w:p w14:paraId="21D146DD">
      <w:pPr>
        <w:pStyle w:val="7"/>
        <w:numPr>
          <w:ilvl w:val="0"/>
          <w:numId w:val="0"/>
        </w:numPr>
        <w:snapToGrid w:val="0"/>
        <w:rPr>
          <w:sz w:val="20"/>
        </w:rPr>
      </w:pPr>
      <w:r>
        <w:rPr>
          <w:rFonts w:ascii="Times New Roman" w:hAnsi="Times New Roman" w:eastAsia="宋体"/>
          <w:sz w:val="20"/>
          <w:szCs w:val="20"/>
        </w:rPr>
        <w:t xml:space="preserve">用 </w:t>
      </w:r>
      <m:oMath>
        <m:sSub>
          <m:sSubPr/>
          <m:e>
            <m:r>
              <m:rPr>
                <m:sty m:val="bi"/>
              </m:rPr>
              <w:rPr>
                <w:rFonts w:ascii="Cambria Math" w:hAnsi="Cambria Math" w:eastAsia="Cambria Math" w:cs="Cambria Math"/>
                <w:sz w:val="20"/>
                <w:szCs w:val="20"/>
              </w:rPr>
              <m:t>v</m:t>
            </m:r>
          </m:e>
          <m:sub>
            <m:r>
              <m:rPr/>
              <w:rPr>
                <w:rFonts w:ascii="Cambria Math" w:hAnsi="Cambria Math" w:eastAsia="Cambria Math" w:cs="Cambria Math"/>
                <w:sz w:val="20"/>
                <w:szCs w:val="20"/>
              </w:rPr>
              <m:t>i</m:t>
            </m:r>
          </m:sub>
        </m:sSub>
      </m:oMath>
      <w:r>
        <w:rPr>
          <w:rFonts w:ascii="Times New Roman" w:hAnsi="Times New Roman" w:eastAsia="宋体"/>
          <w:sz w:val="20"/>
          <w:szCs w:val="20"/>
        </w:rPr>
        <w:t xml:space="preserve"> 表示第 i 个轮心相对惯性系的速度，其分量在机体系中表示。</w:t>
      </w: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为基座原点速度，机身角速度为</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ascii="Times New Roman" w:hAnsi="Times New Roman" w:eastAsia="宋体"/>
          <w:sz w:val="20"/>
          <w:szCs w:val="20"/>
        </w:rPr>
        <w:t xml:space="preserve">轮毂自转角速度标量记为 </w:t>
      </w:r>
      <m:oMath>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oMath>
      <w:r>
        <w:rPr>
          <w:rFonts w:hint="eastAsia"/>
          <w:i w:val="0"/>
          <w:lang w:eastAsia="zh-CN"/>
        </w:rPr>
        <w:t>，</w:t>
      </w:r>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2767EC83">
      <w:pPr>
        <w:pStyle w:val="7"/>
        <w:numPr>
          <w:ilvl w:val="0"/>
          <w:numId w:val="0"/>
        </w:numPr>
        <w:snapToGrid w:val="0"/>
        <w:rPr>
          <w:rFonts w:hint="eastAsia" w:eastAsia="宋体"/>
          <w:sz w:val="20"/>
          <w:szCs w:val="20"/>
          <w:lang w:eastAsia="zh-CN"/>
        </w:rPr>
      </w:pPr>
      <w:r>
        <w:rPr>
          <w:rFonts w:hint="default"/>
          <w:sz w:val="20"/>
          <w:szCs w:val="20"/>
        </w:rPr>
        <w:t>(8)</w:t>
      </w:r>
      <w:r>
        <w:rPr>
          <w:rFonts w:hint="eastAsia"/>
          <w:sz w:val="20"/>
          <w:szCs w:val="20"/>
          <w:lang w:eastAsia="zh-CN"/>
        </w:rPr>
        <w:t>即为麦克纳姆轮底盘的逆运动学模型，可将机体速度映射为轮电机的角速度。</w:t>
      </w:r>
    </w:p>
    <w:bookmarkEnd w:id="6"/>
    <w:p w14:paraId="5844043D">
      <w:pPr>
        <w:pStyle w:val="4"/>
        <w:numPr>
          <w:ilvl w:val="2"/>
          <w:numId w:val="0"/>
        </w:numPr>
        <w:snapToGrid w:val="0"/>
      </w:pPr>
      <w:bookmarkStart w:id="7" w:name="轮体动力学与足端力映射"/>
      <w:r>
        <w:t xml:space="preserve">4) </w:t>
      </w:r>
      <w:r>
        <w:rPr>
          <w:rFonts w:hint="eastAsia"/>
          <w:lang w:eastAsia="zh-CN"/>
        </w:rPr>
        <w:t>麦克纳姆轮</w:t>
      </w:r>
      <w:r>
        <w:t>动力学与足端力映射</w:t>
      </w:r>
    </w:p>
    <w:p w14:paraId="25E699F4">
      <w:pPr>
        <w:pStyle w:val="7"/>
        <w:numPr>
          <w:ilvl w:val="0"/>
          <w:numId w:val="0"/>
        </w:numPr>
        <w:snapToGrid w:val="0"/>
        <w:rPr>
          <w:rFonts w:hint="eastAsia"/>
          <w:sz w:val="20"/>
          <w:szCs w:val="20"/>
        </w:rPr>
      </w:pPr>
      <w:r>
        <w:rPr>
          <w:rFonts w:hint="eastAsia"/>
          <w:sz w:val="20"/>
          <w:szCs w:val="20"/>
          <w:lang w:val="en-US" w:eastAsia="zh-CN"/>
        </w:rPr>
        <w:t>因为</w:t>
      </w:r>
      <w:r>
        <w:rPr>
          <w:rFonts w:hint="eastAsia"/>
          <w:sz w:val="20"/>
          <w:szCs w:val="20"/>
        </w:rPr>
        <w:t>直接对所有连杆求解完整动力学会增加参数标定与实时计算负担</w:t>
      </w:r>
      <w:r>
        <w:rPr>
          <w:rFonts w:hint="eastAsia"/>
          <w:sz w:val="20"/>
          <w:szCs w:val="20"/>
          <w:lang w:eastAsia="zh-CN"/>
        </w:rPr>
        <w:t>，</w:t>
      </w:r>
      <w:r>
        <w:rPr>
          <w:rFonts w:hint="eastAsia"/>
          <w:sz w:val="20"/>
          <w:szCs w:val="20"/>
        </w:rPr>
        <w:t>本文采用分层建模方法，先对具有独立质量的轮体建模，再通过虚功原理将</w:t>
      </w:r>
      <w:r>
        <w:rPr>
          <w:rFonts w:hint="eastAsia"/>
          <w:sz w:val="20"/>
          <w:szCs w:val="20"/>
          <w:lang w:eastAsia="zh-CN"/>
        </w:rPr>
        <w:t>足端接触力</w:t>
      </w:r>
      <w:r>
        <w:rPr>
          <w:rFonts w:hint="eastAsia"/>
          <w:sz w:val="20"/>
          <w:szCs w:val="20"/>
        </w:rPr>
        <w:t>映射到腿部</w:t>
      </w:r>
      <w:r>
        <w:rPr>
          <w:rFonts w:hint="eastAsia"/>
          <w:sz w:val="20"/>
          <w:szCs w:val="20"/>
          <w:lang w:eastAsia="zh-CN"/>
        </w:rPr>
        <w:t>关节电机</w:t>
      </w:r>
      <w:r>
        <w:rPr>
          <w:rFonts w:hint="eastAsia"/>
          <w:sz w:val="20"/>
          <w:szCs w:val="20"/>
        </w:rPr>
        <w:t>。Fig. 5 给出轮受力示意图。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1508125"/>
            <wp:effectExtent l="0" t="0" r="0" b="0"/>
            <wp:docPr id="25" name="Fig. 5"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5" descr="车轮受力示意图：接触力、轴端作用力、重力、驱动力矩与力臂"/>
                    <pic:cNvPicPr>
                      <a:picLocks noChangeAspect="1"/>
                    </pic:cNvPicPr>
                  </pic:nvPicPr>
                  <pic:blipFill>
                    <a:blip r:embed="rId10"/>
                    <a:srcRect t="24124" b="10323"/>
                    <a:stretch>
                      <a:fillRect/>
                    </a:stretch>
                  </pic:blipFill>
                  <pic:spPr>
                    <a:xfrm>
                      <a:off x="0" y="0"/>
                      <a:ext cx="2880000" cy="1508125"/>
                    </a:xfrm>
                    <a:prstGeom prst="rect">
                      <a:avLst/>
                    </a:prstGeom>
                  </pic:spPr>
                </pic:pic>
              </a:graphicData>
            </a:graphic>
          </wp:inline>
        </w:drawing>
      </w:r>
    </w:p>
    <w:p w14:paraId="4D4F694F">
      <w:pPr>
        <w:pStyle w:val="18"/>
        <w:numPr>
          <w:ilvl w:val="0"/>
          <w:numId w:val="0"/>
        </w:numPr>
        <w:snapToGrid w:val="0"/>
      </w:pPr>
      <w:r>
        <w:rPr>
          <w:iCs/>
        </w:rPr>
        <w:t xml:space="preserve">Fig. 5. </w:t>
      </w:r>
      <w:r>
        <w:rPr>
          <w:rFonts w:hint="eastAsia"/>
          <w:iCs/>
        </w:rPr>
        <w:t>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ascii="Times New Roman" w:hAnsi="Times New Roman" w:eastAsia="宋体"/>
          <w:sz w:val="20"/>
          <w:szCs w:val="20"/>
        </w:rPr>
        <w:t>其中，</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rFonts w:ascii="Times New Roman" w:hAnsi="Times New Roman" w:eastAsia="宋体"/>
          <w:sz w:val="20"/>
          <w:szCs w:val="20"/>
        </w:rPr>
        <w:t xml:space="preserve"> 为轮关于质心的惯性张量，</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为轮体相对惯性系的角速度，</w:t>
      </w:r>
      <m:oMath>
        <m:sSub>
          <m:sSubPr/>
          <m:e>
            <m:acc>
              <m:accPr>
                <m:chr m:val="̇"/>
              </m:accPr>
              <m:e>
                <m:r>
                  <m:rPr>
                    <m:sty m:val="bi"/>
                  </m:rPr>
                  <w:rPr>
                    <w:rFonts w:ascii="Cambria Math" w:hAnsi="Cambria Math" w:eastAsia="Cambria Math" w:cs="Cambria Math"/>
                    <w:sz w:val="20"/>
                    <w:szCs w:val="20"/>
                  </w:rPr>
                  <m:t>ω</m:t>
                </m:r>
              </m:e>
            </m:acc>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为角加速度；上述量均以同一坐标系的分量参与运算。</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令</w:t>
      </w:r>
      <m:oMath>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ascii="Times New Roman" w:hAnsi="Times New Roman" w:eastAsia="宋体"/>
          <w:sz w:val="20"/>
          <w:szCs w:val="20"/>
        </w:rPr>
        <w:t xml:space="preserve"> 表示虚关节位移。</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rFonts w:hint="eastAsia" w:eastAsia="宋体"/>
          <w:sz w:val="20"/>
          <w:lang w:eastAsia="zh-CN"/>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，使用传动矩阵的转置。</w:t>
      </w:r>
      <w:r>
        <w:rPr>
          <w:rFonts w:hint="eastAsia"/>
          <w:sz w:val="20"/>
          <w:szCs w:val="20"/>
          <w:lang w:eastAsia="zh-CN"/>
        </w:rPr>
        <w:t>其中</w:t>
      </w:r>
      <m:oMath>
        <m:sSub>
          <m:sSubPr>
            <m:ctrlPr>
              <w:rPr>
                <w:rFonts w:hint="eastAsia" w:ascii="Cambria Math" w:hAnsi="Cambria Math"/>
                <w:sz w:val="20"/>
                <w:szCs w:val="20"/>
                <w:lang w:eastAsia="zh-CN"/>
              </w:rPr>
            </m:ctrlPr>
          </m:sSubPr>
          <m:e>
            <m:r>
              <m:rPr>
                <m:sty m:val="p"/>
              </m:rPr>
              <w:rPr>
                <w:rFonts w:hint="eastAsia"/>
                <w:sz w:val="20"/>
                <w:szCs w:val="20"/>
                <w:lang w:eastAsia="zh-CN"/>
              </w:rPr>
              <m:t>τ</m:t>
            </m:r>
            <m:ctrlPr>
              <w:rPr>
                <w:rFonts w:hint="eastAsia" w:ascii="Cambria Math" w:hAnsi="Cambria Math"/>
                <w:sz w:val="20"/>
                <w:szCs w:val="20"/>
                <w:lang w:eastAsia="zh-CN"/>
              </w:rPr>
            </m:ctrlPr>
          </m:e>
          <m:sub>
            <m:r>
              <m:rPr>
                <m:sty m:val="p"/>
              </m:rPr>
              <w:rPr>
                <w:rFonts w:hint="eastAsia"/>
                <w:sz w:val="20"/>
                <w:szCs w:val="20"/>
                <w:lang w:eastAsia="zh-CN"/>
              </w:rPr>
              <m:t>η</m:t>
            </m:r>
            <m:ctrlPr>
              <w:rPr>
                <w:rFonts w:hint="eastAsia" w:ascii="Cambria Math" w:hAnsi="Cambria Math"/>
                <w:sz w:val="20"/>
                <w:szCs w:val="20"/>
                <w:lang w:eastAsia="zh-CN"/>
              </w:rPr>
            </m:ctrlPr>
          </m:sub>
        </m:sSub>
      </m:oMath>
      <w:r>
        <w:rPr>
          <w:rFonts w:hint="eastAsia"/>
          <w:sz w:val="20"/>
          <w:szCs w:val="20"/>
          <w:lang w:eastAsia="zh-CN"/>
        </w:rPr>
        <w:t>为腿部关节电机的输出力矩。</w:t>
      </w:r>
    </w:p>
    <w:bookmarkEnd w:id="7"/>
    <w:p w14:paraId="5DC355BB">
      <w:pPr>
        <w:pStyle w:val="4"/>
        <w:numPr>
          <w:ilvl w:val="2"/>
          <w:numId w:val="0"/>
        </w:numPr>
        <w:snapToGrid w:val="0"/>
      </w:pPr>
      <w:bookmarkStart w:id="8" w:name="整机单刚体动力学"/>
      <w:r>
        <w:t>5) 整机单刚体动力学</w:t>
      </w:r>
    </w:p>
    <w:p w14:paraId="7686BD07">
      <w:pPr>
        <w:pStyle w:val="7"/>
        <w:numPr>
          <w:ilvl w:val="0"/>
          <w:numId w:val="0"/>
        </w:numPr>
        <w:snapToGrid w:val="0"/>
        <w:rPr>
          <w:sz w:val="20"/>
        </w:rPr>
      </w:pPr>
      <w:r>
        <w:rPr>
          <w:rFonts w:hint="eastAsia"/>
          <w:sz w:val="20"/>
          <w:szCs w:val="20"/>
          <w:lang w:eastAsia="zh-CN"/>
        </w:rPr>
        <w:t>考虑到底盘快速运动时机械臂通常相对底盘静止，因此在进行底盘的动力学建模时，可以</w:t>
      </w:r>
      <w:r>
        <w:rPr>
          <w:rFonts w:hint="eastAsia"/>
          <w:sz w:val="20"/>
          <w:szCs w:val="20"/>
        </w:rPr>
        <w:t>将</w:t>
      </w:r>
      <w:r>
        <w:rPr>
          <w:rFonts w:hint="eastAsia"/>
          <w:sz w:val="20"/>
          <w:szCs w:val="20"/>
          <w:lang w:eastAsia="zh-CN"/>
        </w:rPr>
        <w:t>底盘与机械臂</w:t>
      </w:r>
      <w:r>
        <w:rPr>
          <w:rFonts w:hint="eastAsia"/>
          <w:sz w:val="20"/>
          <w:szCs w:val="20"/>
        </w:rPr>
        <w:t>作为具有等效质量和惯量的系统，</w:t>
      </w:r>
      <w:r>
        <w:rPr>
          <w:rFonts w:hint="eastAsia"/>
          <w:sz w:val="20"/>
          <w:szCs w:val="20"/>
          <w:lang w:eastAsia="zh-CN"/>
        </w:rPr>
        <w:t>整个机器人近似为单刚体</w:t>
      </w:r>
      <w:r>
        <w:rPr>
          <w:rFonts w:hint="eastAsia"/>
          <w:sz w:val="20"/>
          <w:szCs w:val="20"/>
        </w:rPr>
        <w:t xml:space="preserve">。整机质量记为 </w:t>
      </w:r>
      <m:oMath>
        <m:r>
          <m:rPr>
            <m:sty m:val="p"/>
          </m:rPr>
          <w:rPr>
            <w:rFonts w:hint="eastAsia"/>
            <w:sz w:val="20"/>
            <w:szCs w:val="20"/>
          </w:rPr>
          <m:t>m</m:t>
        </m:r>
      </m:oMath>
      <w:r>
        <w:rPr>
          <w:rFonts w:hint="eastAsia"/>
          <w:sz w:val="20"/>
          <w:szCs w:val="20"/>
        </w:rPr>
        <w:t xml:space="preserve">，质心加速度为 </w:t>
      </w:r>
      <m:oMath>
        <m:sSub>
          <m:sSubPr>
            <m:ctrlPr>
              <w:rPr>
                <w:rFonts w:hint="eastAsia" w:ascii="Cambria Math" w:hAnsi="Cambria Math"/>
                <w:sz w:val="20"/>
                <w:szCs w:val="20"/>
              </w:rPr>
            </m:ctrlPr>
          </m:sSubPr>
          <m:e>
            <m:r>
              <m:rPr>
                <m:sty m:val="p"/>
              </m:rPr>
              <w:rPr>
                <w:rFonts w:hint="eastAsia"/>
                <w:sz w:val="20"/>
                <w:szCs w:val="20"/>
              </w:rPr>
              <m:t>a</m:t>
            </m:r>
            <m:ctrlPr>
              <w:rPr>
                <w:rFonts w:hint="eastAsia" w:ascii="Cambria Math" w:hAnsi="Cambria Math"/>
                <w:sz w:val="20"/>
                <w:szCs w:val="20"/>
              </w:rPr>
            </m:ctrlPr>
          </m:e>
          <m:sub>
            <m:r>
              <m:rPr>
                <m:sty m:val="p"/>
              </m:rPr>
              <w:rPr>
                <w:rFonts w:hint="eastAsia"/>
                <w:sz w:val="20"/>
                <w:szCs w:val="20"/>
              </w:rPr>
              <m:t>G</m:t>
            </m:r>
            <m:ctrlPr>
              <w:rPr>
                <w:rFonts w:hint="eastAsia" w:ascii="Cambria Math" w:hAnsi="Cambria Math"/>
                <w:sz w:val="20"/>
                <w:szCs w:val="20"/>
              </w:rPr>
            </m:ctrlPr>
          </m:sub>
        </m:sSub>
      </m:oMath>
      <w:r>
        <w:rPr>
          <w:rFonts w:hint="eastAsia"/>
          <w:sz w:val="20"/>
          <w:szCs w:val="20"/>
        </w:rPr>
        <w:t>；</w:t>
      </w:r>
      <m:oMath>
        <m:sSub>
          <m:sSubPr>
            <m:ctrlPr>
              <w:rPr>
                <w:rFonts w:hint="eastAsia" w:ascii="Cambria Math" w:hAnsi="Cambria Math"/>
                <w:sz w:val="20"/>
                <w:szCs w:val="20"/>
              </w:rPr>
            </m:ctrlPr>
          </m:sSubPr>
          <m:e>
            <m:r>
              <m:rPr>
                <m:sty m:val="p"/>
              </m:rPr>
              <w:rPr>
                <w:rFonts w:hint="eastAsia"/>
                <w:sz w:val="20"/>
                <w:szCs w:val="20"/>
              </w:rPr>
              <m:t>r</m:t>
            </m:r>
            <m:ctrlPr>
              <w:rPr>
                <w:rFonts w:hint="eastAsia" w:ascii="Cambria Math" w:hAnsi="Cambria Math"/>
                <w:sz w:val="20"/>
                <w:szCs w:val="20"/>
              </w:rPr>
            </m:ctrlPr>
          </m:e>
          <m:sub>
            <m:r>
              <m:rPr>
                <m:sty m:val="p"/>
              </m:rPr>
              <w:rPr>
                <w:rFonts w:hint="eastAsia"/>
                <w:sz w:val="20"/>
                <w:szCs w:val="20"/>
              </w:rPr>
              <m:t>e,i</m:t>
            </m:r>
            <m:ctrlPr>
              <w:rPr>
                <w:rFonts w:hint="eastAsia" w:ascii="Cambria Math" w:hAnsi="Cambria Math"/>
                <w:sz w:val="20"/>
                <w:szCs w:val="20"/>
              </w:rPr>
            </m:ctrlPr>
          </m:sub>
        </m:sSub>
      </m:oMath>
      <w:r>
        <w:rPr>
          <w:rFonts w:hint="eastAsia"/>
          <w:sz w:val="20"/>
          <w:szCs w:val="20"/>
        </w:rPr>
        <w:t xml:space="preserve"> 为质心指向第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6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129790"/>
            <wp:effectExtent l="0" t="0" r="0" b="0"/>
            <wp:docPr id="26" name="Fig. 6"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6" descr="基于底盘立体构型的整机质心与四轮接触力示意图"/>
                    <pic:cNvPicPr>
                      <a:picLocks noChangeAspect="1"/>
                    </pic:cNvPicPr>
                  </pic:nvPicPr>
                  <pic:blipFill>
                    <a:blip r:embed="rId11"/>
                    <a:srcRect t="3403" b="3791"/>
                    <a:stretch>
                      <a:fillRect/>
                    </a:stretch>
                  </pic:blipFill>
                  <pic:spPr>
                    <a:xfrm>
                      <a:off x="0" y="0"/>
                      <a:ext cx="3060000" cy="2129790"/>
                    </a:xfrm>
                    <a:prstGeom prst="rect">
                      <a:avLst/>
                    </a:prstGeom>
                  </pic:spPr>
                </pic:pic>
              </a:graphicData>
            </a:graphic>
          </wp:inline>
        </w:drawing>
      </w:r>
    </w:p>
    <w:p w14:paraId="32A2B6DF">
      <w:pPr>
        <w:pStyle w:val="18"/>
        <w:numPr>
          <w:ilvl w:val="0"/>
          <w:numId w:val="0"/>
        </w:numPr>
        <w:snapToGrid w:val="0"/>
        <w:rPr>
          <w:rFonts w:hint="eastAsia" w:eastAsia="宋体"/>
          <w:lang w:eastAsia="zh-CN"/>
        </w:rPr>
      </w:pPr>
      <w:r>
        <w:rPr>
          <w:iCs/>
        </w:rPr>
        <w:t xml:space="preserve">Fig. 6. </w:t>
      </w:r>
      <w:r>
        <w:rPr>
          <w:rFonts w:hint="eastAsia"/>
          <w:iCs/>
        </w:rPr>
        <w:t>基于底盘立体构型的整机质心与四轮接触力示意。各接触力以竖直箭头示意其作用位置；选取第 i 个触点标注接触力及质心至触点的力臂。</w:t>
      </w:r>
    </w:p>
    <w:p w14:paraId="4191046F">
      <w:pPr>
        <w:pStyle w:val="7"/>
        <w:numPr>
          <w:ilvl w:val="0"/>
          <w:numId w:val="0"/>
        </w:numPr>
        <w:snapToGrid w:val="0"/>
        <w:rPr>
          <w:sz w:val="20"/>
        </w:rPr>
      </w:pPr>
      <w:r>
        <w:rPr>
          <w:rFonts w:ascii="Times New Roman" w:hAnsi="Times New Roman" w:eastAsia="宋体"/>
          <w:sz w:val="20"/>
          <w:szCs w:val="20"/>
        </w:rPr>
        <w:t>将整机动力学方程统一写在惯性系下。</w:t>
      </w:r>
      <m:oMath>
        <m:r>
          <m:rPr>
            <m:sty m:val="bi"/>
          </m:rPr>
          <w:rPr>
            <w:rFonts w:ascii="Cambria Math" w:hAnsi="Cambria Math" w:eastAsia="Cambria Math" w:cs="Cambria Math"/>
            <w:sz w:val="20"/>
            <w:szCs w:val="20"/>
          </w:rPr>
          <m:t>ω</m:t>
        </m:r>
      </m:oMath>
      <w:r>
        <w:rPr>
          <w:rFonts w:ascii="Times New Roman" w:hAnsi="Times New Roman" w:eastAsia="宋体"/>
          <w:sz w:val="20"/>
          <w:szCs w:val="20"/>
        </w:rPr>
        <w:t xml:space="preserve"> 为机身角速度，</w:t>
      </w:r>
      <m:oMath>
        <m:acc>
          <m:accPr>
            <m:chr m:val="̇"/>
          </m:accPr>
          <m:e>
            <m:r>
              <m:rPr>
                <m:sty m:val="bi"/>
              </m:rPr>
              <w:rPr>
                <w:rFonts w:ascii="Cambria Math" w:hAnsi="Cambria Math" w:eastAsia="Cambria Math" w:cs="Cambria Math"/>
                <w:sz w:val="20"/>
                <w:szCs w:val="20"/>
              </w:rPr>
              <m:t>ω</m:t>
            </m:r>
          </m:e>
        </m:acc>
      </m:oMath>
      <w:r>
        <w:rPr>
          <w:rFonts w:ascii="Times New Roman" w:hAnsi="Times New Roman" w:eastAsia="宋体"/>
          <w:sz w:val="20"/>
          <w:szCs w:val="20"/>
        </w:rPr>
        <w:t xml:space="preserve"> 为角加速度，</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ascii="Times New Roman" w:hAnsi="Times New Roman" w:eastAsia="宋体"/>
          <w:sz w:val="20"/>
          <w:szCs w:val="20"/>
        </w:rPr>
        <w:t xml:space="preserve"> 为以机体系分量表示的整机质心惯性张量。惯性张量变换为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ascii="Times New Roman" w:hAnsi="Times New Roman" w:eastAsia="宋体"/>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ascii="Times New Roman" w:hAnsi="Times New Roman" w:eastAsia="宋体"/>
          <w:sz w:val="20"/>
          <w:szCs w:val="20"/>
        </w:rPr>
        <w:t>其中，</w:t>
      </w:r>
      <m:oMath>
        <m:r>
          <m:rPr>
            <m:sty m:val="b"/>
          </m:rPr>
          <w:rPr>
            <w:rFonts w:ascii="Cambria Math" w:hAnsi="Cambria Math" w:eastAsia="Cambria Math" w:cs="Cambria Math"/>
            <w:sz w:val="20"/>
            <w:szCs w:val="20"/>
          </w:rPr>
          <m:t>H</m:t>
        </m:r>
      </m:oMath>
      <w:r>
        <w:rPr>
          <w:rFonts w:ascii="Times New Roman" w:hAnsi="Times New Roman" w:eastAsia="宋体"/>
          <w:sz w:val="20"/>
          <w:szCs w:val="20"/>
        </w:rPr>
        <w:t xml:space="preserve"> 将各接触力映射为整机合力与合力矩，</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rFonts w:ascii="Times New Roman" w:hAnsi="Times New Roman" w:eastAsia="宋体"/>
          <w:sz w:val="20"/>
          <w:szCs w:val="20"/>
        </w:rPr>
        <w:t xml:space="preserve"> 为四轮接触力的堆叠向量，</w:t>
      </w:r>
      <m:oMath>
        <m:sSub>
          <m:sSubPr/>
          <m:e>
            <m:r>
              <m:rPr>
                <m:sty m:val="bi"/>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dyn</m:t>
            </m:r>
          </m:sub>
        </m:sSub>
      </m:oMath>
      <w:r>
        <w:rPr>
          <w:rFonts w:ascii="Times New Roman" w:hAnsi="Times New Roman" w:eastAsia="宋体"/>
          <w:sz w:val="20"/>
          <w:szCs w:val="20"/>
        </w:rPr>
        <w:t xml:space="preserve"> 为所需接触合力与合力矩组成的向量。</w:t>
      </w: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ctrlPr>
              <w:rPr>
                <w:rFonts w:hint="eastAsia" w:ascii="Cambria Math" w:hAnsi="Cambria Math"/>
                <w:sz w:val="20"/>
                <w:szCs w:val="20"/>
              </w:rPr>
            </m:ctrlPr>
          </m:sSubPr>
          <m:e>
            <m:r>
              <m:rPr>
                <m:sty m:val="p"/>
              </m:rPr>
              <w:rPr>
                <w:rFonts w:hint="eastAsia"/>
                <w:sz w:val="20"/>
                <w:szCs w:val="20"/>
              </w:rPr>
              <m:t>I</m:t>
            </m:r>
            <m:ctrlPr>
              <w:rPr>
                <w:rFonts w:hint="eastAsia" w:ascii="Cambria Math" w:hAnsi="Cambria Math"/>
                <w:sz w:val="20"/>
                <w:szCs w:val="20"/>
              </w:rPr>
            </m:ctrlPr>
          </m:e>
          <m:sub>
            <m:r>
              <m:rPr>
                <m:sty m:val="p"/>
              </m:rPr>
              <w:rPr>
                <w:rFonts w:hint="eastAsia"/>
                <w:sz w:val="20"/>
                <w:szCs w:val="20"/>
              </w:rPr>
              <m:t>s</m:t>
            </m:r>
            <m:ctrlPr>
              <w:rPr>
                <w:rFonts w:hint="eastAsia" w:ascii="Cambria Math" w:hAnsi="Cambria Math"/>
                <w:sz w:val="20"/>
                <w:szCs w:val="20"/>
              </w:rPr>
            </m:ctrlPr>
          </m:sub>
        </m:sSub>
        <m:r>
          <m:rPr>
            <m:sty m:val="p"/>
          </m:rPr>
          <w:rPr>
            <w:rFonts w:hint="eastAsia"/>
            <w:sz w:val="20"/>
            <w:szCs w:val="20"/>
          </w:rPr>
          <m:t>ω)</m:t>
        </m:r>
      </m:oMath>
      <w:r>
        <w:rPr>
          <w:rFonts w:hint="eastAsia"/>
          <w:sz w:val="20"/>
          <w:szCs w:val="20"/>
        </w:rPr>
        <w:t>；</w:t>
      </w:r>
      <w:r>
        <w:rPr>
          <w:rFonts w:hint="eastAsia"/>
          <w:sz w:val="20"/>
          <w:szCs w:val="20"/>
          <w:lang w:eastAsia="zh-CN"/>
        </w:rPr>
        <w:t>在</w:t>
      </w:r>
      <w:r>
        <w:rPr>
          <w:rFonts w:hint="eastAsia"/>
          <w:sz w:val="20"/>
          <w:szCs w:val="20"/>
        </w:rPr>
        <w:t>姿态变化</w:t>
      </w:r>
      <w:r>
        <w:rPr>
          <w:rFonts w:hint="eastAsia"/>
          <w:sz w:val="20"/>
          <w:szCs w:val="20"/>
          <w:lang w:eastAsia="zh-CN"/>
        </w:rPr>
        <w:t>不</w:t>
      </w:r>
      <w:r>
        <w:rPr>
          <w:rFonts w:hint="eastAsia"/>
          <w:sz w:val="20"/>
          <w:szCs w:val="20"/>
        </w:rPr>
        <w:t>明显</w:t>
      </w:r>
      <w:r>
        <w:rPr>
          <w:rFonts w:hint="eastAsia"/>
          <w:sz w:val="20"/>
          <w:szCs w:val="20"/>
          <w:lang w:eastAsia="zh-CN"/>
        </w:rPr>
        <w:t>且</w:t>
      </w:r>
      <w:r>
        <w:rPr>
          <w:rFonts w:hint="eastAsia"/>
          <w:sz w:val="20"/>
          <w:szCs w:val="20"/>
        </w:rPr>
        <w:t>机械臂</w:t>
      </w:r>
      <w:r>
        <w:rPr>
          <w:rFonts w:hint="eastAsia"/>
          <w:sz w:val="20"/>
          <w:szCs w:val="20"/>
          <w:lang w:eastAsia="zh-CN"/>
        </w:rPr>
        <w:t>相对底盘基本静止</w:t>
      </w:r>
      <w:r>
        <w:rPr>
          <w:rFonts w:hint="eastAsia"/>
          <w:sz w:val="20"/>
          <w:szCs w:val="20"/>
        </w:rPr>
        <w:t>时，</w:t>
      </w:r>
      <w:r>
        <w:rPr>
          <w:rFonts w:hint="eastAsia"/>
          <w:sz w:val="20"/>
          <w:szCs w:val="20"/>
          <w:lang w:val="en-US" w:eastAsia="zh-CN"/>
        </w:rPr>
        <w:t>此</w:t>
      </w:r>
      <w:r>
        <w:rPr>
          <w:rFonts w:hint="eastAsia"/>
          <w:sz w:val="20"/>
          <w:szCs w:val="20"/>
        </w:rPr>
        <w:t>近似</w:t>
      </w:r>
      <w:r>
        <w:rPr>
          <w:rFonts w:hint="eastAsia"/>
          <w:sz w:val="20"/>
          <w:szCs w:val="20"/>
          <w:lang w:val="en-US" w:eastAsia="zh-CN"/>
        </w:rPr>
        <w:t>能够满足较高</w:t>
      </w:r>
      <w:r>
        <w:rPr>
          <w:rFonts w:hint="eastAsia"/>
          <w:sz w:val="20"/>
          <w:szCs w:val="20"/>
          <w:lang w:eastAsia="zh-CN"/>
        </w:rPr>
        <w:t>精度</w:t>
      </w:r>
      <w:r>
        <w:rPr>
          <w:rFonts w:hint="eastAsia"/>
          <w:sz w:val="20"/>
          <w:szCs w:val="20"/>
          <w:lang w:val="en-US" w:eastAsia="zh-CN"/>
        </w:rPr>
        <w:t>的建模和解算</w:t>
      </w:r>
      <w:r>
        <w:rPr>
          <w:rFonts w:hint="eastAsia"/>
          <w:sz w:val="20"/>
          <w:szCs w:val="20"/>
        </w:rPr>
        <w:t>。</w:t>
      </w:r>
      <w:r>
        <w:rPr>
          <w:rFonts w:hint="eastAsia"/>
          <w:sz w:val="20"/>
          <w:szCs w:val="20"/>
          <w:lang w:eastAsia="zh-CN"/>
        </w:rPr>
        <w:t>足端力的</w:t>
      </w:r>
      <w:r>
        <w:rPr>
          <w:rFonts w:hint="eastAsia"/>
          <w:sz w:val="20"/>
          <w:szCs w:val="20"/>
        </w:rPr>
        <w:t>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rFonts w:hint="eastAsia"/>
          <w:sz w:val="20"/>
          <w:szCs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w:t>
      </w:r>
      <w:r>
        <w:rPr>
          <w:rFonts w:hint="eastAsia"/>
          <w:sz w:val="20"/>
          <w:szCs w:val="20"/>
          <w:lang w:val="en-US" w:eastAsia="zh-CN"/>
        </w:rPr>
        <w:t>能够实现</w:t>
      </w:r>
      <w:r>
        <w:rPr>
          <w:rFonts w:hint="eastAsia"/>
          <w:sz w:val="20"/>
          <w:szCs w:val="20"/>
        </w:rPr>
        <w:t>接触力欧氏范数</w:t>
      </w:r>
      <w:r>
        <w:rPr>
          <w:rFonts w:hint="eastAsia"/>
          <w:sz w:val="20"/>
          <w:szCs w:val="20"/>
          <w:lang w:val="en-US" w:eastAsia="zh-CN"/>
        </w:rPr>
        <w:t>的</w:t>
      </w:r>
      <w:r>
        <w:rPr>
          <w:rFonts w:hint="eastAsia"/>
          <w:sz w:val="20"/>
          <w:szCs w:val="20"/>
        </w:rPr>
        <w:t>最小化。</w:t>
      </w:r>
    </w:p>
    <w:bookmarkEnd w:id="8"/>
    <w:p w14:paraId="1F9BE2B0">
      <w:pPr>
        <w:pStyle w:val="4"/>
        <w:numPr>
          <w:ilvl w:val="2"/>
          <w:numId w:val="0"/>
        </w:numPr>
        <w:snapToGrid w:val="0"/>
      </w:pPr>
      <w:bookmarkStart w:id="9" w:name="姿态控制器"/>
      <w:r>
        <w:t>6) 姿态控制器</w:t>
      </w:r>
    </w:p>
    <w:p w14:paraId="3D05A0BA">
      <w:pPr>
        <w:pStyle w:val="7"/>
        <w:numPr>
          <w:ilvl w:val="0"/>
          <w:numId w:val="0"/>
        </w:numPr>
        <w:snapToGrid w:val="0"/>
        <w:rPr>
          <w:rFonts w:hint="eastAsia"/>
          <w:sz w:val="20"/>
          <w:szCs w:val="20"/>
        </w:rPr>
      </w:pPr>
      <w:r>
        <w:rPr>
          <w:rFonts w:hint="eastAsia"/>
          <w:sz w:val="20"/>
          <w:szCs w:val="20"/>
          <w:lang w:val="en-US" w:eastAsia="zh-CN"/>
        </w:rPr>
        <w:t>因为</w:t>
      </w:r>
      <w:r>
        <w:rPr>
          <w:rFonts w:hint="eastAsia"/>
          <w:sz w:val="20"/>
          <w:szCs w:val="20"/>
        </w:rPr>
        <w:t>固定腿部关节姿态难以适应地面高度变化</w:t>
      </w:r>
      <w:r>
        <w:rPr>
          <w:rFonts w:hint="eastAsia"/>
          <w:sz w:val="20"/>
          <w:szCs w:val="20"/>
          <w:lang w:eastAsia="zh-CN"/>
        </w:rPr>
        <w:t>，</w:t>
      </w:r>
      <w:r>
        <w:rPr>
          <w:rFonts w:hint="eastAsia"/>
          <w:sz w:val="20"/>
          <w:szCs w:val="20"/>
        </w:rPr>
        <w:t xml:space="preserve">本文根据姿态误差增量调整腿长，以惯性测量单元（IMU）提供的滚转角 </w:t>
      </w:r>
      <m:oMath>
        <m:r>
          <m:rPr>
            <m:sty m:val="p"/>
          </m:rPr>
          <w:rPr>
            <w:rFonts w:hint="eastAsia"/>
            <w:sz w:val="20"/>
            <w:szCs w:val="20"/>
          </w:rPr>
          <m:t>ϕ</m:t>
        </m:r>
      </m:oMath>
      <w:r>
        <w:rPr>
          <w:rFonts w:hint="eastAsia"/>
          <w:sz w:val="20"/>
          <w:szCs w:val="20"/>
        </w:rPr>
        <w:t xml:space="preserve">、俯仰角 </w:t>
      </w:r>
      <m:oMath>
        <m:r>
          <m:rPr>
            <m:sty m:val="p"/>
          </m:rPr>
          <w:rPr>
            <w:rFonts w:hint="eastAsia"/>
            <w:sz w:val="20"/>
            <w:szCs w:val="20"/>
          </w:rPr>
          <m:t>θ</m:t>
        </m:r>
      </m:oMath>
      <w:r>
        <w:rPr>
          <w:rFonts w:hint="eastAsia"/>
          <w:sz w:val="20"/>
          <w:szCs w:val="20"/>
        </w:rPr>
        <w:t xml:space="preserve"> 及角速度作为反馈。本文采用角度—角速度双环 P 控制，并</w:t>
      </w:r>
      <w:r>
        <w:rPr>
          <w:rFonts w:hint="eastAsia"/>
          <w:sz w:val="20"/>
          <w:szCs w:val="20"/>
          <w:lang w:eastAsia="zh-CN"/>
        </w:rPr>
        <w:t>将输出值作为</w:t>
      </w:r>
      <w:r>
        <w:rPr>
          <w:rFonts w:hint="eastAsia"/>
          <w:sz w:val="20"/>
          <w:szCs w:val="20"/>
        </w:rPr>
        <w:t>腿高修正</w:t>
      </w:r>
      <w:r>
        <w:rPr>
          <w:rFonts w:hint="eastAsia"/>
          <w:sz w:val="20"/>
          <w:szCs w:val="20"/>
          <w:lang w:eastAsia="zh-CN"/>
        </w:rPr>
        <w:t>量增量</w:t>
      </w:r>
      <w:r>
        <w:rPr>
          <w:rFonts w:hint="eastAsia"/>
          <w:sz w:val="20"/>
          <w:szCs w:val="20"/>
        </w:rPr>
        <w:t xml:space="preserve">。闭环控制结构如 Fig. 7 所示。对任一姿态轴 </w:t>
      </w:r>
      <m:oMath>
        <m:r>
          <m:rPr>
            <m:sty m:val="p"/>
          </m:rPr>
          <w:rPr>
            <w:rFonts w:hint="eastAsia"/>
            <w:sz w:val="20"/>
            <w:szCs w:val="20"/>
          </w:rPr>
          <m:t>χ∈{ϕ,θ}</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为姿态角误差，单位均为弧度。</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为角度环给出的期望角速度，单位为弧度每秒。</w:t>
      </w:r>
    </w:p>
    <w:p w14:paraId="6F107001">
      <w:pPr>
        <w:pStyle w:val="7"/>
        <w:numPr>
          <w:ilvl w:val="0"/>
          <w:numId w:val="0"/>
        </w:numPr>
        <w:snapToGrid w:val="0"/>
        <w:rPr>
          <w:rFonts w:hint="eastAsia"/>
          <w:sz w:val="20"/>
          <w:szCs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为角速度环比例增益，将角速度误差转换为本</w:t>
      </w:r>
      <w:r>
        <w:rPr>
          <w:rFonts w:hint="eastAsia"/>
          <w:sz w:val="20"/>
          <w:szCs w:val="20"/>
          <w:lang w:eastAsia="zh-CN"/>
        </w:rPr>
        <w:t>计算</w:t>
      </w:r>
      <w:r>
        <w:rPr>
          <w:rFonts w:hint="eastAsia"/>
          <w:sz w:val="20"/>
          <w:szCs w:val="20"/>
        </w:rPr>
        <w:t>周期的</w:t>
      </w:r>
      <w:r>
        <w:rPr>
          <w:rFonts w:hint="eastAsia"/>
          <w:sz w:val="20"/>
          <w:szCs w:val="20"/>
          <w:lang w:eastAsia="zh-CN"/>
        </w:rPr>
        <w:t>腿高</w:t>
      </w:r>
      <w:r>
        <w:rPr>
          <w:rFonts w:hint="eastAsia"/>
          <w:sz w:val="20"/>
          <w:szCs w:val="20"/>
        </w:rPr>
        <w:t xml:space="preserve">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w:t>
      </w:r>
      <w:r>
        <w:rPr>
          <w:rFonts w:hint="eastAsia"/>
          <w:sz w:val="20"/>
          <w:szCs w:val="20"/>
          <w:lang w:eastAsia="zh-CN"/>
        </w:rPr>
        <w:t>腿高</w:t>
      </w:r>
      <w:r>
        <w:rPr>
          <w:rFonts w:hint="eastAsia"/>
          <w:sz w:val="20"/>
          <w:szCs w:val="20"/>
        </w:rPr>
        <w:t>修正量，</w:t>
      </w:r>
      <m:oMath>
        <m:sSub>
          <m:sSubPr>
            <m:ctrlPr>
              <w:rPr>
                <w:rFonts w:hint="eastAsia" w:ascii="Cambria Math" w:hAnsi="Cambria Math"/>
                <w:sz w:val="20"/>
                <w:szCs w:val="20"/>
              </w:rPr>
            </m:ctrlPr>
          </m:sSubPr>
          <m:e>
            <m:r>
              <m:rPr>
                <m:sty m:val="p"/>
              </m:rPr>
              <w:rPr>
                <w:rFonts w:hint="eastAsia"/>
                <w:sz w:val="20"/>
                <w:szCs w:val="20"/>
              </w:rPr>
              <m:t>u</m:t>
            </m:r>
            <m:ctrlPr>
              <w:rPr>
                <w:rFonts w:hint="eastAsia" w:ascii="Cambria Math" w:hAnsi="Cambria Math"/>
                <w:sz w:val="20"/>
                <w:szCs w:val="20"/>
              </w:rPr>
            </m:ctrlPr>
          </m:e>
          <m:sub>
            <m:r>
              <m:rPr>
                <m:sty m:val="p"/>
              </m:rPr>
              <w:rPr>
                <w:rFonts w:hint="eastAsia"/>
                <w:sz w:val="20"/>
                <w:szCs w:val="20"/>
              </w:rPr>
              <m:t>χ</m:t>
            </m:r>
            <m:ctrlPr>
              <w:rPr>
                <w:rFonts w:hint="eastAsia" w:ascii="Cambria Math" w:hAnsi="Cambria Math"/>
                <w:sz w:val="20"/>
                <w:szCs w:val="20"/>
              </w:rPr>
            </m:ctrlPr>
          </m:sub>
        </m:sSub>
        <m:r>
          <m:rPr>
            <m:sty m:val="p"/>
          </m:rPr>
          <w:rPr>
            <w:rFonts w:hint="eastAsia"/>
            <w:sz w:val="20"/>
            <w:szCs w:val="20"/>
          </w:rPr>
          <m:t>[k−1]</m:t>
        </m:r>
      </m:oMath>
      <w:r>
        <w:rPr>
          <w:rFonts w:hint="eastAsia"/>
          <w:sz w:val="20"/>
          <w:szCs w:val="20"/>
        </w:rPr>
        <w:t xml:space="preserve"> 为上一周期的值；</w:t>
      </w:r>
      <w:r>
        <w:rPr>
          <w:rFonts w:hint="eastAsia"/>
          <w:sz w:val="20"/>
          <w:szCs w:val="20"/>
          <w:lang w:eastAsia="zh-CN"/>
        </w:rPr>
        <w:t>腿高</w:t>
      </w:r>
      <w:r>
        <w:rPr>
          <w:rFonts w:hint="eastAsia"/>
          <w:sz w:val="20"/>
          <w:szCs w:val="20"/>
        </w:rPr>
        <w:t>修正量及其增量的单位均为米。</w:t>
      </w:r>
    </w:p>
    <w:p w14:paraId="194B4AE2">
      <w:pPr>
        <w:pStyle w:val="7"/>
        <w:numPr>
          <w:ilvl w:val="0"/>
          <w:numId w:val="0"/>
        </w:numPr>
        <w:snapToGrid w:val="0"/>
        <w:rPr>
          <w:sz w:val="20"/>
        </w:rPr>
      </w:pPr>
      <w:r>
        <w:rPr>
          <w:rFonts w:hint="eastAsia"/>
          <w:sz w:val="20"/>
          <w:szCs w:val="20"/>
          <w:lang w:eastAsia="zh-CN"/>
        </w:rPr>
        <w:t>腿高</w:t>
      </w:r>
      <w:r>
        <w:rPr>
          <w:rFonts w:hint="eastAsia"/>
          <w:sz w:val="20"/>
          <w:szCs w:val="20"/>
        </w:rPr>
        <w:t>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分别为前后、左右轮心间距的一半，均为正值，上述长度的单位均为米。在四腿近似对称、小姿态角和触点高度暂时固定的条件下，可将修正分配为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rFonts w:hint="eastAsia" w:eastAsia="宋体"/>
          <w:sz w:val="20"/>
          <w:lang w:eastAsia="zh-CN"/>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基准腿高</w:t>
      </w:r>
      <w:r>
        <w:rPr>
          <w:rFonts w:hint="eastAsia"/>
          <w:sz w:val="20"/>
          <w:szCs w:val="20"/>
        </w:rPr>
        <w:t>，</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w:t>
      </w:r>
      <w:r>
        <w:rPr>
          <w:rFonts w:hint="eastAsia"/>
          <w:sz w:val="20"/>
          <w:szCs w:val="20"/>
          <w:lang w:eastAsia="zh-CN"/>
        </w:rPr>
        <w:t>腿高</w:t>
      </w:r>
      <w:r>
        <w:rPr>
          <w:rFonts w:hint="eastAsia"/>
          <w:sz w:val="20"/>
          <w:szCs w:val="20"/>
        </w:rPr>
        <w:t>，均以向下为正、单位为米；</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w:t>
      </w:r>
      <w:r>
        <w:rPr>
          <w:rFonts w:hint="eastAsia"/>
          <w:sz w:val="20"/>
          <w:szCs w:val="20"/>
          <w:lang w:eastAsia="zh-CN"/>
        </w:rPr>
        <w:t>腿高</w:t>
      </w:r>
      <w:r>
        <w:rPr>
          <w:rFonts w:hint="eastAsia"/>
          <w:sz w:val="20"/>
          <w:szCs w:val="20"/>
        </w:rPr>
        <w:t>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ctrlPr>
              <w:rPr>
                <w:rFonts w:hint="eastAsia" w:ascii="Cambria Math" w:hAnsi="Cambria Math"/>
                <w:sz w:val="20"/>
                <w:szCs w:val="20"/>
              </w:rPr>
            </m:ctrlPr>
          </m:sSubPr>
          <m:e>
            <m:r>
              <m:rPr>
                <m:sty m:val="p"/>
              </m:rPr>
              <w:rPr>
                <w:rFonts w:hint="eastAsia"/>
                <w:sz w:val="20"/>
                <w:szCs w:val="20"/>
              </w:rPr>
              <m:t>x</m:t>
            </m:r>
            <m:ctrlPr>
              <w:rPr>
                <w:rFonts w:hint="eastAsia" w:ascii="Cambria Math" w:hAnsi="Cambria Math"/>
                <w:sz w:val="20"/>
                <w:szCs w:val="20"/>
              </w:rPr>
            </m:ctrlPr>
          </m:e>
          <m:sub>
            <m:r>
              <m:rPr>
                <m:sty m:val="p"/>
              </m:rPr>
              <w:rPr>
                <w:rFonts w:hint="eastAsia"/>
                <w:sz w:val="20"/>
                <w:szCs w:val="20"/>
              </w:rPr>
              <m:t>i</m:t>
            </m:r>
            <m:ctrlPr>
              <w:rPr>
                <w:rFonts w:hint="eastAsia" w:ascii="Cambria Math" w:hAnsi="Cambria Math"/>
                <w:sz w:val="20"/>
                <w:szCs w:val="20"/>
              </w:rPr>
            </m:ctrlPr>
          </m:sub>
        </m:sSub>
      </m:oMath>
      <w:r>
        <w:rPr>
          <w:rFonts w:hint="eastAsia"/>
          <w:sz w:val="20"/>
          <w:szCs w:val="20"/>
        </w:rPr>
        <w:t xml:space="preserve"> 的</w:t>
      </w:r>
      <w:r>
        <w:rPr>
          <w:rFonts w:hint="eastAsia"/>
          <w:sz w:val="20"/>
          <w:szCs w:val="20"/>
          <w:lang w:eastAsia="zh-CN"/>
        </w:rPr>
        <w:t>基准</w:t>
      </w:r>
      <w:r>
        <w:rPr>
          <w:rFonts w:hint="eastAsia"/>
          <w:sz w:val="20"/>
          <w:szCs w:val="20"/>
        </w:rPr>
        <w:t xml:space="preserve">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985"/>
            <wp:docPr id="27" name="Fig. 7"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7" descr="底盘姿态控制器闭环方框图"/>
                    <pic:cNvPicPr>
                      <a:picLocks noChangeAspect="1"/>
                    </pic:cNvPicPr>
                  </pic:nvPicPr>
                  <pic:blipFill>
                    <a:blip r:embed="rId12"/>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7. 底盘姿态控制器闭环方框图。滚转与俯仰分别采用(18)的双环 P 控制及高度增量累加，两轴修正量经(19)共同分配至四腿；关节伺服内环合并表示。</w:t>
      </w:r>
    </w:p>
    <w:bookmarkEnd w:id="4"/>
    <w:bookmarkEnd w:id="9"/>
    <w:p w14:paraId="3E18FD99">
      <w:pPr>
        <w:pStyle w:val="3"/>
        <w:numPr>
          <w:ilvl w:val="1"/>
          <w:numId w:val="0"/>
        </w:numPr>
        <w:snapToGrid w:val="0"/>
      </w:pPr>
      <w:bookmarkStart w:id="10" w:name="c.-机械臂逆运动学"/>
      <w:r>
        <w:t xml:space="preserve">C. </w:t>
      </w:r>
      <w:r>
        <w:rPr>
          <w:rFonts w:hint="eastAsia"/>
        </w:rPr>
        <w:t>机械臂模块</w:t>
      </w:r>
    </w:p>
    <w:p w14:paraId="7A110003">
      <w:pPr>
        <w:pStyle w:val="4"/>
        <w:numPr>
          <w:ilvl w:val="2"/>
          <w:numId w:val="0"/>
        </w:numPr>
        <w:snapToGrid w:val="0"/>
      </w:pPr>
      <w:r>
        <w:rPr>
          <w:rFonts w:ascii="Times New Roman" w:hAnsi="Times New Roman" w:eastAsia="宋体"/>
          <w:sz w:val="20"/>
          <w:szCs w:val="20"/>
        </w:rPr>
        <w:t>1) 结构概述</w:t>
      </w:r>
    </w:p>
    <w:p w14:paraId="7A110004">
      <w:pPr>
        <w:pStyle w:val="7"/>
        <w:numPr>
          <w:ilvl w:val="0"/>
          <w:numId w:val="0"/>
        </w:numPr>
        <w:snapToGrid w:val="0"/>
        <w:rPr>
          <w:strike/>
          <w:dstrike w:val="0"/>
          <w:sz w:val="20"/>
          <w:highlight w:val="green"/>
        </w:rPr>
      </w:pPr>
      <w:r>
        <w:rPr>
          <w:rFonts w:ascii="Times New Roman" w:hAnsi="Times New Roman" w:eastAsia="宋体"/>
          <w:sz w:val="20"/>
          <w:szCs w:val="20"/>
        </w:rPr>
        <w:t>机</w:t>
      </w:r>
      <w:r>
        <w:rPr>
          <w:rFonts w:hint="eastAsia"/>
          <w:sz w:val="20"/>
          <w:szCs w:val="20"/>
        </w:rPr>
        <w:t>械臂由六个转动关节和末端连杆式夹爪组成，分别</w:t>
      </w:r>
      <w:r>
        <w:rPr>
          <w:rFonts w:hint="eastAsia"/>
          <w:sz w:val="20"/>
          <w:szCs w:val="20"/>
          <w:lang w:eastAsia="zh-CN"/>
        </w:rPr>
        <w:t>执行</w:t>
      </w:r>
      <w:r>
        <w:rPr>
          <w:rFonts w:hint="eastAsia"/>
          <w:sz w:val="20"/>
          <w:szCs w:val="20"/>
        </w:rPr>
        <w:t>空间位姿调整与抓取动作</w:t>
      </w:r>
      <w:r>
        <w:rPr>
          <w:rFonts w:hint="eastAsia"/>
          <w:sz w:val="20"/>
          <w:szCs w:val="20"/>
          <w:lang w:eastAsia="zh-CN"/>
        </w:rPr>
        <w:t>的任务</w:t>
      </w:r>
      <w:r>
        <w:rPr>
          <w:rFonts w:hint="eastAsia"/>
          <w:sz w:val="20"/>
          <w:szCs w:val="20"/>
        </w:rPr>
        <w:t>。</w:t>
      </w:r>
      <w:bookmarkStart w:id="17" w:name="_GoBack"/>
      <w:bookmarkEnd w:id="17"/>
    </w:p>
    <w:p w14:paraId="7A110005">
      <w:pPr>
        <w:pStyle w:val="4"/>
        <w:numPr>
          <w:ilvl w:val="2"/>
          <w:numId w:val="0"/>
        </w:numPr>
        <w:snapToGrid w:val="0"/>
      </w:pPr>
      <w:r>
        <w:rPr>
          <w:rFonts w:ascii="Times New Roman" w:hAnsi="Times New Roman" w:eastAsia="宋体"/>
          <w:sz w:val="20"/>
          <w:szCs w:val="20"/>
        </w:rPr>
        <w:t>2) 逆运动学</w:t>
      </w:r>
    </w:p>
    <w:p w14:paraId="46EF2C59">
      <w:pPr>
        <w:pStyle w:val="7"/>
        <w:numPr>
          <w:ilvl w:val="0"/>
          <w:numId w:val="0"/>
        </w:numPr>
        <w:snapToGrid w:val="0"/>
        <w:rPr>
          <w:sz w:val="20"/>
        </w:rPr>
      </w:pPr>
      <w:r>
        <w:rPr>
          <w:rFonts w:ascii="Times New Roman" w:hAnsi="Times New Roman" w:eastAsia="宋体"/>
          <w:sz w:val="20"/>
          <w:szCs w:val="20"/>
        </w:rPr>
        <w:t xml:space="preserve">本文采用 Pieper [11] 针对末三轴相交的六轴机械臂提出的解析逆解方法。针对 Fig. 8 所示的肘式臂—球腕构型，按本文的 DH 坐标系与关节零位约定，直接给出所选分支的最终关节角公式。</w:t>
      </w:r>
    </w:p>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8"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8" descr="机械臂侧视图上的关节坐标系定义"/>
                    <pic:cNvPicPr>
                      <a:picLocks noChangeAspect="1"/>
                    </pic:cNvPicPr>
                  </pic:nvPicPr>
                  <pic:blipFill>
                    <a:blip r:embed="rId13"/>
                    <a:stretch>
                      <a:fillRect/>
                    </a:stretch>
                  </pic:blipFill>
                  <pic:spPr>
                    <a:xfrm>
                      <a:off x="0" y="0"/>
                      <a:ext cx="3060000" cy="1020000"/>
                    </a:xfrm>
                    <a:prstGeom prst="rect">
                      <a:avLst/>
                    </a:prstGeom>
                  </pic:spPr>
                </pic:pic>
              </a:graphicData>
            </a:graphic>
          </wp:inline>
        </w:drawing>
      </w:r>
    </w:p>
    <w:p w14:paraId="6F108002">
      <w:pPr>
        <w:keepNext/>
        <w:keepLines/>
        <w:numPr>
          <w:ilvl w:val="0"/>
          <w:numId w:val="0"/>
        </w:numPr>
        <w:snapToGrid w:val="0"/>
        <w:spacing w:before="0" w:after="60"/>
        <w:ind w:left="0" w:right="0" w:firstLine="0"/>
        <w:jc w:val="center"/>
      </w:pPr>
      <w:r>
        <w:rPr>
          <w:rFonts w:ascii="Times New Roman" w:hAnsi="Times New Roman"/>
          <w:sz w:val="18"/>
          <w:szCs w:val="18"/>
        </w:rPr>
        <w:t>(a) Physical view</w:t>
      </w:r>
    </w:p>
    <w:p w14:paraId="6F108003">
      <w:pPr>
        <w:keepNext/>
        <w:keepLines/>
        <w:numPr>
          <w:ilvl w:val="0"/>
          <w:numId w:val="0"/>
        </w:numPr>
        <w:snapToGrid w:val="0"/>
        <w:spacing w:before="60" w:after="60" w:line="240" w:lineRule="auto"/>
        <w:ind w:left="0" w:right="0" w:firstLine="0"/>
        <w:jc w:val="center"/>
      </w:pPr>
      <w:r>
        <w:drawing>
          <wp:inline distT="0" distB="0" distL="0" distR="0">
            <wp:extent cx="3059430" cy="1520190"/>
            <wp:effectExtent l="0" t="0" r="7620" b="8890"/>
            <wp:docPr id="34" name="Fig. 8(b)" descr="Arm joint coordinate frames and link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 8(b)" descr="Arm joint coordinate frames and link dimensions"/>
                    <pic:cNvPicPr>
                      <a:picLocks noChangeAspect="1"/>
                    </pic:cNvPicPr>
                  </pic:nvPicPr>
                  <pic:blipFill>
                    <a:blip r:embed="rId14"/>
                    <a:stretch>
                      <a:fillRect/>
                    </a:stretch>
                  </pic:blipFill>
                  <pic:spPr>
                    <a:xfrm>
                      <a:off x="0" y="0"/>
                      <a:ext cx="3059430" cy="1520256"/>
                    </a:xfrm>
                    <a:prstGeom prst="rect">
                      <a:avLst/>
                    </a:prstGeom>
                  </pic:spPr>
                </pic:pic>
              </a:graphicData>
            </a:graphic>
          </wp:inline>
        </w:drawing>
      </w:r>
    </w:p>
    <w:p w14:paraId="6F108004">
      <w:pPr>
        <w:keepNext/>
        <w:keepLines/>
        <w:numPr>
          <w:ilvl w:val="0"/>
          <w:numId w:val="0"/>
        </w:numPr>
        <w:snapToGrid w:val="0"/>
        <w:spacing w:before="0" w:after="60"/>
        <w:ind w:left="0" w:right="0" w:firstLine="0"/>
        <w:jc w:val="center"/>
      </w:pPr>
      <w:r>
        <w:rPr>
          <w:rFonts w:ascii="Times New Roman" w:hAnsi="Times New Roman"/>
          <w:sz w:val="18"/>
          <w:szCs w:val="18"/>
        </w:rPr>
        <w:t>(b) Joint coordinate frames</w:t>
      </w:r>
    </w:p>
    <w:p w14:paraId="1428A8F6">
      <w:pPr>
        <w:pStyle w:val="18"/>
        <w:numPr>
          <w:ilvl w:val="0"/>
          <w:numId w:val="0"/>
        </w:numPr>
        <w:snapToGrid w:val="0"/>
      </w:pPr>
      <w:r>
        <w:rPr>
          <w:iCs/>
        </w:rPr>
        <w:t>Fig. 8. 六轴机械臂关节坐标系。（a）侧视图上的坐标系对应位置。（b）关节坐标系与连杆尺寸定义。坐标系 2、3 的原点重合，坐标系 4、5 的原点重合。</w:t>
      </w:r>
    </w:p>
    <w:p w14:paraId="6F10C801">
      <w:pPr>
        <w:pStyle w:val="7"/>
        <w:numPr>
          <w:ilvl w:val="0"/>
          <w:numId w:val="0"/>
        </w:numPr>
        <w:snapToGrid w:val="0"/>
        <w:rPr>
          <w:sz w:val="20"/>
        </w:rPr>
      </w:pPr>
      <w:r>
        <w:rPr>
          <w:rFonts w:ascii="Times New Roman" w:hAnsi="Times New Roman" w:eastAsia="宋体"/>
          <w:sz w:val="20"/>
          <w:szCs w:val="20"/>
        </w:rPr>
        <w:t xml:space="preserve">给定 {0} 下的末端目标位置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rFonts w:ascii="Times New Roman" w:hAnsi="Times New Roman" w:eastAsia="宋体"/>
          <w:sz w:val="20"/>
          <w:szCs w:val="20"/>
        </w:rPr>
        <w:t xml:space="preserve"> 和姿态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ascii="Times New Roman" w:hAnsi="Times New Roman" w:eastAsia="宋体"/>
          <w:sz w:val="20"/>
          <w:szCs w:val="20"/>
        </w:rPr>
        <w:t xml:space="preserve">，腕心定义为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
        </m:r>
      </m:oMath>
      <w:r>
        <w:rPr>
          <w:rFonts w:ascii="Times New Roman" w:hAnsi="Times New Roman" w:eastAsia="宋体"/>
          <w:sz w:val="20"/>
          <w:szCs w:val="20"/>
        </w:rPr>
        <w:t xml:space="preserve">，其中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ascii="Times New Roman" w:hAnsi="Times New Roman" w:eastAsia="宋体"/>
          <w:sz w:val="20"/>
          <w:szCs w:val="20"/>
        </w:rPr>
        <w:t xml:space="preserve"> 为腕心至末端沿工具正 </w:t>
      </w:r>
      <m:oMath>
        <m:r>
          <m:rPr/>
          <w:rPr>
            <w:rFonts w:ascii="Cambria Math" w:hAnsi="Cambria Math" w:eastAsia="Cambria Math" w:cs="Cambria Math"/>
            <w:sz w:val="20"/>
            <w:szCs w:val="20"/>
          </w:rPr>
          <m:t>y</m:t>
        </m:r>
      </m:oMath>
      <w:r>
        <w:rPr>
          <w:rFonts w:ascii="Times New Roman" w:hAnsi="Times New Roman" w:eastAsia="宋体"/>
          <w:sz w:val="20"/>
          <w:szCs w:val="20"/>
        </w:rPr>
        <w:t xml:space="preserve"> 轴的偏置距离。</w:t>
      </w:r>
      <w:r>
        <w:rPr>
          <w:rFonts w:ascii="Times New Roman" w:hAnsi="Times New Roman" w:eastAsia="宋体"/>
          <w:sz w:val="20"/>
          <w:szCs w:val="20"/>
        </w:rPr>
        <w:t xml:space="preserve">关节角记为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oMath>
      <w:r>
        <w:rPr>
          <w:rFonts w:ascii="Times New Roman" w:hAnsi="Times New Roman" w:eastAsia="宋体"/>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=1,…,6</m:t>
        </m:r>
      </m:oMath>
      <w:r>
        <w:rPr>
          <w:rFonts w:ascii="Times New Roman" w:hAnsi="Times New Roman" w:eastAsia="宋体"/>
          <w:sz w:val="20"/>
          <w:szCs w:val="20"/>
        </w:rPr>
        <w:t>），末端位置和姿态均相对于基坐标系 {0} 表示。</w:t>
      </w:r>
      <m:oMath>
        <m:sSub>
          <m:sSubPr/>
          <m:e>
            <m:r>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ascii="Times New Roman" w:hAnsi="Times New Roman" w:eastAsia="宋体"/>
          <w:sz w:val="20"/>
          <w:szCs w:val="20"/>
        </w:rPr>
        <w:t xml:space="preserve"> 为沿第三坐标系 z 轴从其原点至腕心的距离。</w:t>
      </w:r>
    </w:p>
    <w:p w14:paraId="2743674C">
      <w:pPr>
        <w:pStyle w:val="7"/>
        <w:numPr>
          <w:ilvl w:val="0"/>
          <w:numId w:val="0"/>
        </w:numPr>
        <w:snapToGrid w:val="0"/>
        <w:rPr>
          <w:sz w:val="20"/>
        </w:rPr>
      </w:pPr>
      <w:r>
        <w:rPr>
          <w:rFonts w:ascii="Times New Roman" w:hAnsi="Times New Roman" w:eastAsia="宋体"/>
          <w:sz w:val="20"/>
          <w:szCs w:val="20"/>
        </w:rPr>
        <w:t xml:space="preserve">设腕心坐标为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ascii="Times New Roman" w:hAnsi="Times New Roman" w:eastAsia="宋体"/>
          <w:sz w:val="20"/>
          <w:szCs w:val="20"/>
        </w:rPr>
        <w:t xml:space="preserve">，</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rFonts w:ascii="Times New Roman" w:hAnsi="Times New Roman" w:eastAsia="宋体"/>
          <w:sz w:val="20"/>
          <w:szCs w:val="20"/>
        </w:rPr>
        <w:t xml:space="preserve"> 为肩部径向与高度偏置，</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rFonts w:ascii="Times New Roman" w:hAnsi="Times New Roman" w:eastAsia="宋体"/>
          <w:sz w:val="20"/>
          <w:szCs w:val="20"/>
        </w:rPr>
        <w:t xml:space="preserve">、</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ascii="Times New Roman" w:hAnsi="Times New Roman" w:eastAsia="宋体"/>
          <w:sz w:val="20"/>
          <w:szCs w:val="20"/>
        </w:rPr>
        <w:t xml:space="preserve"> 为等效臂长。定义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ascii="Times New Roman" w:hAnsi="Times New Roman" w:eastAsia="宋体"/>
          <w:sz w:val="20"/>
          <w:szCs w:val="20"/>
        </w:rPr>
        <w:t xml:space="preserve">，</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ascii="Times New Roman" w:hAnsi="Times New Roman" w:eastAsia="宋体"/>
          <w:sz w:val="20"/>
          <w:szCs w:val="20"/>
        </w:rPr>
        <w:t xml:space="preserve">，</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ascii="Times New Roman" w:hAnsi="Times New Roman" w:eastAsia="宋体"/>
          <w:sz w:val="20"/>
          <w:szCs w:val="20"/>
        </w:rPr>
        <w:t xml:space="preserve">。正对高臂分支的前三轴关节角为</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(20)</w:t>
            </w:r>
          </w:p>
        </w:tc>
      </w:tr>
    </w:tbl>
    <w:p w14:paraId="3EBA8D22">
      <w:pPr>
        <w:pStyle w:val="7"/>
        <w:numPr>
          <w:ilvl w:val="0"/>
          <w:numId w:val="0"/>
        </w:numPr>
        <w:snapToGrid w:val="0"/>
        <w:rPr>
          <w:sz w:val="20"/>
        </w:rPr>
      </w:pPr>
      <w:r>
        <w:rPr>
          <w:rFonts w:ascii="Times New Roman" w:hAnsi="Times New Roman" w:eastAsia="宋体"/>
          <w:sz w:val="20"/>
          <w:szCs w:val="20"/>
        </w:rPr>
        <w:t xml:space="preserve">令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rFonts w:ascii="Times New Roman" w:hAnsi="Times New Roman" w:eastAsia="宋体"/>
          <w:sz w:val="20"/>
          <w:szCs w:val="20"/>
        </w:rPr>
        <w:t xml:space="preserve"> 为前三轴关节角对应的坐标系 {3} 到 {0} 的旋转矩阵，定义腕部姿态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up>
            <m:r>
              <m:rPr>
                <m:sty m:val="p"/>
              </m:rPr>
              <w:rPr>
                <w:rFonts w:ascii="Cambria Math" w:hAnsi="Cambria Math" w:eastAsia="Cambria Math" w:cs="Cambria Math"/>
                <w:sz w:val="20"/>
                <w:szCs w:val="20"/>
              </w:rPr>
              <m:t>T</m:t>
            </m:r>
          </m:sup>
        </m:sSubSup>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n</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o</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a</m:t>
        </m:r>
        <m:r>
          <m:rPr>
            <m:sty m:val="p"/>
          </m:rPr>
          <w:rPr>
            <w:rFonts w:ascii="Cambria Math" w:hAnsi="Cambria Math" w:eastAsia="Cambria Math" w:cs="Cambria Math"/>
            <w:sz w:val="20"/>
            <w:szCs w:val="20"/>
          </w:rPr>
          <m:t>]</m:t>
        </m:r>
      </m:oMath>
      <w:r>
        <w:rPr>
          <w:rFonts w:ascii="Times New Roman" w:hAnsi="Times New Roman" w:eastAsia="宋体"/>
          <w:sz w:val="20"/>
          <w:szCs w:val="20"/>
        </w:rPr>
        <w:t xml:space="preserve">。</w:t>
      </w:r>
    </w:p>
    <w:p w14:paraId="2DF1DB83">
      <w:pPr>
        <w:pStyle w:val="7"/>
        <w:numPr>
          <w:ilvl w:val="0"/>
          <w:numId w:val="0"/>
        </w:numPr>
        <w:snapToGrid w:val="0"/>
        <w:rPr>
          <w:sz w:val="20"/>
        </w:rPr>
      </w:pP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rFonts w:ascii="Times New Roman" w:hAnsi="Times New Roman" w:eastAsia="宋体"/>
          <w:sz w:val="20"/>
          <w:szCs w:val="20"/>
        </w:rPr>
        <w:t xml:space="preserve"> 为上述列矢量的相应分量。在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ascii="Times New Roman" w:hAnsi="Times New Roman" w:eastAsia="宋体"/>
          <w:sz w:val="20"/>
          <w:szCs w:val="20"/>
        </w:rPr>
        <w:t xml:space="preserve"> 时，腕部的两个解析分支为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(21)</w:t>
            </w:r>
          </w:p>
        </w:tc>
      </w:tr>
    </w:tbl>
    <w:p w14:paraId="6BDBEFC2">
      <w:pPr>
        <w:pStyle w:val="7"/>
        <w:numPr>
          <w:ilvl w:val="0"/>
          <w:numId w:val="0"/>
        </w:numPr>
        <w:snapToGrid w:val="0"/>
        <w:rPr>
          <w:rFonts w:hint="eastAsia"/>
          <w:sz w:val="20"/>
          <w:szCs w:val="20"/>
          <w:lang w:eastAsia="zh-CN"/>
        </w:rPr>
      </w:pPr>
      <w:r>
        <w:rPr>
          <w:rFonts w:ascii="Times New Roman" w:hAnsi="Times New Roman" w:eastAsia="宋体"/>
          <w:sz w:val="20"/>
          <w:szCs w:val="20"/>
        </w:rPr>
        <w:t xml:space="preserve">腕部实际关节角为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ascii="Times New Roman" w:hAnsi="Times New Roman" w:eastAsia="宋体"/>
          <w:sz w:val="20"/>
          <w:szCs w:val="20"/>
        </w:rPr>
        <w:t xml:space="preserve">（</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ascii="Times New Roman" w:hAnsi="Times New Roman" w:eastAsia="宋体"/>
          <w:sz w:val="20"/>
          <w:szCs w:val="20"/>
        </w:rPr>
        <w:t xml:space="preserve">），其中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oMath>
      <w:r>
        <w:rPr>
          <w:rFonts w:ascii="Times New Roman" w:hAnsi="Times New Roman" w:eastAsia="宋体"/>
          <w:sz w:val="20"/>
          <w:szCs w:val="20"/>
        </w:rPr>
        <w:t xml:space="preserve"> 为标准 DH 关节角，</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ascii="Times New Roman" w:hAnsi="Times New Roman" w:eastAsia="宋体"/>
          <w:sz w:val="20"/>
          <w:szCs w:val="20"/>
        </w:rPr>
        <w:t xml:space="preserve"> 为零位偏置。对候选解进行位姿回代检查，选择与上一时刻关节角最接近的可行分支。</w:t>
      </w:r>
    </w:p>
    <w:bookmarkEnd w:id="10"/>
    <w:p w14:paraId="5216BD38">
      <w:pPr>
        <w:pStyle w:val="3"/>
        <w:numPr>
          <w:ilvl w:val="1"/>
          <w:numId w:val="0"/>
        </w:numPr>
        <w:snapToGrid w:val="0"/>
      </w:pPr>
      <w:bookmarkStart w:id="11" w:name="d.-delta-遥操作控制器"/>
      <w:r>
        <w:t xml:space="preserve">D. Delta </w:t>
      </w:r>
      <w:r>
        <w:rPr>
          <w:rFonts w:hint="eastAsia"/>
        </w:rPr>
        <w:t>遥操作控制器</w:t>
      </w:r>
    </w:p>
    <w:p w14:paraId="272A16D0">
      <w:pPr>
        <w:pStyle w:val="4"/>
        <w:numPr>
          <w:ilvl w:val="2"/>
          <w:numId w:val="0"/>
        </w:numPr>
        <w:snapToGrid w:val="0"/>
      </w:pPr>
      <w:bookmarkStart w:id="12" w:name="构型与正运动学"/>
      <w:r>
        <w:t xml:space="preserve">1) </w:t>
      </w:r>
      <w:r>
        <w:rPr>
          <w:rFonts w:hint="eastAsia"/>
        </w:rPr>
        <w:t>结构概述</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w:t>
      </w:r>
      <w:r>
        <w:rPr>
          <w:rFonts w:hint="eastAsia"/>
          <w:sz w:val="20"/>
          <w:szCs w:val="20"/>
          <w:lang w:eastAsia="zh-CN"/>
        </w:rPr>
        <w:t>三维</w:t>
      </w:r>
      <w:r>
        <w:rPr>
          <w:rFonts w:hint="eastAsia"/>
          <w:sz w:val="20"/>
          <w:szCs w:val="20"/>
        </w:rPr>
        <w:t>姿态。平行四边形从动臂约束动平台相对静平台保持平行，从而将位置输入与姿态输入分开</w:t>
      </w:r>
      <w:r>
        <w:rPr>
          <w:sz w:val="20"/>
          <w:szCs w:val="20"/>
        </w:rPr>
        <w:t xml:space="preserve">。Fig. 9 </w:t>
      </w:r>
      <w:r>
        <w:rPr>
          <w:rFonts w:hint="eastAsia"/>
          <w:sz w:val="20"/>
          <w:szCs w:val="20"/>
        </w:rPr>
        <w:t>给出 Delta 机构、三轴手柄及转轴标注</w:t>
      </w:r>
      <w:r>
        <w:rPr>
          <w:rFonts w:hint="eastAsia"/>
          <w:color w:val="FF0000"/>
          <w:sz w:val="20"/>
          <w:szCs w:val="20"/>
          <w:highlight w:val="yellow"/>
        </w:rPr>
        <w:t>；手柄从 j1 到 j3 依次对应动轴滚转（roll）、俯仰（pitch）和偏航（yaw），简称 RPY。</w:t>
      </w:r>
    </w:p>
    <w:p w14:paraId="7A110006">
      <w:pPr>
        <w:pStyle w:val="7"/>
        <w:numPr>
          <w:ilvl w:val="0"/>
          <w:numId w:val="0"/>
        </w:numPr>
        <w:snapToGrid w:val="0"/>
        <w:rPr>
          <w:sz w:val="20"/>
        </w:rPr>
      </w:pPr>
      <w:r>
        <w:rPr>
          <w:rFonts w:ascii="Times New Roman" w:hAnsi="Times New Roman" w:eastAsia="宋体"/>
          <w:sz w:val="20"/>
          <w:szCs w:val="20"/>
        </w:rPr>
        <w:t>控制器的固定支架与连杆采用碳纤维板件，动平台和手柄采用聚乳酸（polylactic acid，PLA）三维打印件，以减少随手部运动的部件质量并便于装配。手柄侧面的操作参考点重置按钮用于分段重新定位；在保持从端当前目标位姿连续的前提下，重新设置主从位置映射的参考点，即可继续输入后续操作指令。</w:t>
      </w:r>
    </w:p>
    <w:p w14:paraId="7A110007">
      <w:pPr>
        <w:pStyle w:val="4"/>
        <w:numPr>
          <w:ilvl w:val="2"/>
          <w:numId w:val="0"/>
        </w:numPr>
        <w:snapToGrid w:val="0"/>
      </w:pPr>
      <w:r>
        <w:rPr>
          <w:rFonts w:ascii="Times New Roman" w:hAnsi="Times New Roman" w:eastAsia="宋体"/>
          <w:sz w:val="20"/>
          <w:szCs w:val="20"/>
        </w:rPr>
        <w:t>2) 正运动学</w:t>
      </w:r>
    </w:p>
    <w:p w14:paraId="7A110008">
      <w:pPr>
        <w:pStyle w:val="7"/>
        <w:numPr>
          <w:ilvl w:val="0"/>
          <w:numId w:val="0"/>
        </w:numPr>
        <w:snapToGrid w:val="0"/>
        <w:rPr>
          <w:sz w:val="20"/>
        </w:rPr>
      </w:pPr>
      <w:r>
        <w:rPr>
          <w:rFonts w:ascii="Times New Roman" w:hAnsi="Times New Roman" w:eastAsia="宋体"/>
          <w:sz w:val="20"/>
          <w:szCs w:val="20"/>
        </w:rPr>
        <w:t>Delta 机构的几何参数列于 TABLE II。以下沿用系统结构中定义的平台基座坐标系 {D}，建立三条支链的几何约束。</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9"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9" descr="Delta 平移机构与三轴姿态手柄的机构、转轴和平行约束示意"/>
                    <pic:cNvPicPr>
                      <a:picLocks noChangeAspect="1"/>
                    </pic:cNvPicPr>
                  </pic:nvPicPr>
                  <pic:blipFill>
                    <a:blip r:embed="rId15"/>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9.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指向第一支链的静平台连接点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10 所示；单支链图采用对称构型展示角度与长度定义，虚线段对应(23)中的等效长度约束。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3060000" cy="2046375"/>
            <wp:effectExtent l="0" t="0" r="0" b="0"/>
            <wp:docPr id="30" name="Fig. 10"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10" descr="Delta 三支链及单支链几何模型，基座原点位于静平台中心"/>
                    <pic:cNvPicPr>
                      <a:picLocks noChangeAspect="1"/>
                    </pic:cNvPicPr>
                  </pic:nvPicPr>
                  <pic:blipFill>
                    <a:blip r:embed="rId16"/>
                    <a:stretch>
                      <a:fillRect/>
                    </a:stretch>
                  </pic:blipFill>
                  <pic:spPr>
                    <a:xfrm>
                      <a:off x="0" y="0"/>
                      <a:ext cx="3060000" cy="2046375"/>
                    </a:xfrm>
                    <a:prstGeom prst="rect">
                      <a:avLst/>
                    </a:prstGeom>
                  </pic:spPr>
                </pic:pic>
              </a:graphicData>
            </a:graphic>
          </wp:inline>
        </w:drawing>
      </w:r>
    </w:p>
    <w:p w14:paraId="6F109002">
      <w:pPr>
        <w:pStyle w:val="18"/>
        <w:numPr>
          <w:ilvl w:val="0"/>
          <w:numId w:val="0"/>
        </w:numPr>
        <w:snapToGrid w:val="0"/>
      </w:pPr>
      <w:r>
        <w:t>Fig. 10.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(22)</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(23)</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(24)</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(25)</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(26)</w:t>
            </w:r>
          </w:p>
        </w:tc>
      </w:tr>
    </w:tbl>
    <w:p w14:paraId="415E9CFE">
      <w:pPr>
        <w:pStyle w:val="7"/>
        <w:numPr>
          <w:ilvl w:val="0"/>
          <w:numId w:val="0"/>
        </w:numPr>
        <w:snapToGrid w:val="0"/>
        <w:rPr>
          <w:sz w:val="20"/>
        </w:rPr>
      </w:pPr>
      <w:r>
        <w:rPr>
          <w:rFonts w:ascii="Times New Roman" w:hAnsi="Times New Roman" w:eastAsia="宋体"/>
          <w:sz w:val="20"/>
          <w:szCs w:val="20"/>
        </w:rPr>
        <w:t xml:space="preserve">记 </w:t>
      </w:r>
      <m:oMath>
        <m:sSub>
          <m:sSubPr/>
          <m:e>
            <m:r>
              <m:rPr>
                <m:sty m:val="b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1,yz</m:t>
            </m:r>
          </m:sub>
        </m:sSub>
        <m:r>
          <m:rPr>
            <m:sty m:val="p"/>
          </m:rPr>
          <w:rPr>
            <w:rFonts w:ascii="Cambria Math" w:hAnsi="Cambria Math" w:eastAsia="Cambria Math" w:cs="Cambria Math"/>
            <w:sz w:val="20"/>
            <w:szCs w:val="20"/>
          </w:rPr>
          <m:t>=</m:t>
        </m:r>
        <m:sSup>
          <m:sSupPr/>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1z</m:t>
                </m:r>
              </m:sub>
            </m:sSub>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ascii="Times New Roman" w:hAnsi="Times New Roman" w:eastAsia="宋体"/>
          <w:sz w:val="20"/>
          <w:szCs w:val="20"/>
        </w:rPr>
        <w:t xml:space="preserve">，代回第一球面，得到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ascii="Times New Roman" w:hAnsi="Times New Roman" w:eastAsia="宋体"/>
          <w:sz w:val="20"/>
          <w:szCs w:val="20"/>
        </w:rPr>
        <w:t>，其中</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(27)</w:t>
            </w:r>
          </w:p>
        </w:tc>
      </w:tr>
    </w:tbl>
    <w:p w14:paraId="2BB35DD4">
      <w:pPr>
        <w:pStyle w:val="7"/>
        <w:numPr>
          <w:ilvl w:val="0"/>
          <w:numId w:val="0"/>
        </w:numPr>
        <w:snapToGrid w:val="0"/>
        <w:rPr>
          <w:rFonts w:hint="eastAsia"/>
          <w:sz w:val="20"/>
          <w:szCs w:val="20"/>
        </w:rPr>
      </w:pPr>
      <w:r>
        <w:rPr>
          <w:rFonts w:hint="eastAsia"/>
          <w:sz w:val="20"/>
          <w:szCs w:val="20"/>
          <w:lang w:val="en-US" w:eastAsia="zh-CN"/>
        </w:rPr>
        <w:t>随后</w:t>
      </w:r>
      <w:r>
        <w:rPr>
          <w:rFonts w:hint="eastAsia"/>
          <w:sz w:val="20"/>
          <w:szCs w:val="20"/>
          <w:lang w:eastAsia="zh-CN"/>
        </w:rPr>
        <w:t>从二次方程候选根中</w:t>
      </w:r>
      <w:r>
        <w:rPr>
          <w:rFonts w:hint="eastAsia"/>
          <w:sz w:val="20"/>
          <w:szCs w:val="20"/>
        </w:rPr>
        <w:t>选择</w:t>
      </w:r>
      <w:r>
        <w:rPr>
          <w:rFonts w:hint="eastAsia"/>
          <w:sz w:val="20"/>
          <w:szCs w:val="20"/>
          <w:lang w:val="en-US" w:eastAsia="zh-CN"/>
        </w:rPr>
        <w:t>得到</w:t>
      </w:r>
      <w:r>
        <w:rPr>
          <w:rFonts w:hint="eastAsia"/>
          <w:sz w:val="20"/>
          <w:szCs w:val="20"/>
        </w:rPr>
        <w:t>满足工作侧和连续性条件的根。</w:t>
      </w:r>
    </w:p>
    <w:bookmarkEnd w:id="12"/>
    <w:p w14:paraId="01EF466D">
      <w:pPr>
        <w:pStyle w:val="4"/>
        <w:numPr>
          <w:ilvl w:val="2"/>
          <w:numId w:val="0"/>
        </w:numPr>
        <w:snapToGrid w:val="0"/>
      </w:pPr>
      <w:bookmarkStart w:id="13" w:name="雅可比与力矩前馈"/>
      <w:r>
        <w:t xml:space="preserve">3) </w:t>
      </w:r>
      <w:r>
        <w:rPr>
          <w:rFonts w:hint="eastAsia"/>
        </w:rPr>
        <w:t>雅可比与力矩前馈</w:t>
      </w:r>
    </w:p>
    <w:p w14:paraId="79ABCD24">
      <w:pPr>
        <w:pStyle w:val="7"/>
        <w:numPr>
          <w:ilvl w:val="0"/>
          <w:numId w:val="0"/>
        </w:numPr>
        <w:snapToGrid w:val="0"/>
        <w:rPr>
          <w:rFonts w:hint="default" w:eastAsia="宋体"/>
          <w:sz w:val="20"/>
          <w:szCs w:val="20"/>
          <w:lang w:val="en-US" w:eastAsia="zh-CN"/>
        </w:rPr>
      </w:pPr>
      <w:r>
        <w:rPr>
          <w:rFonts w:hint="eastAsia"/>
          <w:sz w:val="20"/>
          <w:szCs w:val="20"/>
          <w:lang w:eastAsia="zh-CN"/>
        </w:rPr>
        <w:t>为降低操作员的手部施力负担并改善操作精度，遥操作控制器通过 Delta 机构的三个主动关节施加前馈力矩，补偿机构自重的部分影响。</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(28)</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(29)</w:t>
            </w:r>
          </w:p>
        </w:tc>
      </w:tr>
    </w:tbl>
    <w:p w14:paraId="23750A0F">
      <w:pPr>
        <w:pStyle w:val="7"/>
        <w:numPr>
          <w:ilvl w:val="0"/>
          <w:numId w:val="0"/>
        </w:numPr>
        <w:snapToGrid w:val="0"/>
        <w:rPr>
          <w:rFonts w:hint="eastAsia" w:eastAsia="宋体"/>
          <w:sz w:val="20"/>
          <w:lang w:eastAsia="zh-CN"/>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r>
        <w:rPr>
          <w:rFonts w:hint="eastAsia"/>
          <w:sz w:val="20"/>
          <w:szCs w:val="20"/>
          <w:lang w:eastAsia="zh-CN"/>
        </w:rPr>
        <w:t>。</w:t>
      </w:r>
    </w:p>
    <w:bookmarkEnd w:id="13"/>
    <w:p w14:paraId="4E78815B">
      <w:pPr>
        <w:pStyle w:val="4"/>
        <w:numPr>
          <w:ilvl w:val="2"/>
          <w:numId w:val="0"/>
        </w:numPr>
        <w:snapToGrid w:val="0"/>
      </w:pPr>
      <w:bookmarkStart w:id="14" w:name="位姿映射与关节指令"/>
      <w:r>
        <w:t xml:space="preserve">4)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p>
          <m:sSupPr/>
          <m:e>
            <m:d>
              <m:dPr>
                <m:begChr m:val="["/>
                <m:endChr m:val="]"/>
              </m:dPr>
              <m:e>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e>
            </m:d>
          </m:e>
          <m:sup>
            <m:r>
              <m:rPr>
                <m:sty m:val="p"/>
              </m:rPr>
              <w:rPr>
                <w:rFonts w:ascii="Cambria Math" w:hAnsi="Cambria Math" w:eastAsia="Cambria Math" w:cs="Cambria Math"/>
                <w:sz w:val="20"/>
                <w:szCs w:val="20"/>
              </w:rPr>
              <m:t>T</m:t>
            </m:r>
          </m:sup>
        </m:sSup>
      </m:oMath>
      <w:r>
        <w:rPr>
          <w:rFonts w:hint="eastAsia"/>
          <w:sz w:val="20"/>
          <w:szCs w:val="20"/>
        </w:rPr>
        <w:t xml:space="preserve">。手柄采用动轴 X–Y–Z 欧拉角：从 j1 到 j3 依次为滚转（roll）、俯仰（pitch）、偏航（yaw），经编码器零位与正向标定后分别记为 </w:t>
      </w:r>
      <m:oMath>
        <m:d>
          <m:dPr/>
          <m:e>
            <m:sSub>
              <m:sSubPr/>
              <m:e>
                <m:r>
                  <m:rPr/>
                  <w:rPr>
                    <w:rFonts w:ascii="Cambria Math" w:hAnsi="Cambria Math" w:eastAsia="Cambria Math" w:cs="Cambria Math"/>
                    <w:sz w:val="20"/>
                    <w:szCs w:val="20"/>
                  </w:rPr>
                  <m:t>ϕ</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ψ</m:t>
                </m:r>
              </m:e>
              <m:sub>
                <m:r>
                  <m:rPr>
                    <m:sty m:val="p"/>
                  </m:rPr>
                  <w:rPr>
                    <w:rFonts w:ascii="Cambria Math" w:hAnsi="Cambria Math" w:eastAsia="Cambria Math" w:cs="Cambria Math"/>
                    <w:sz w:val="20"/>
                    <w:szCs w:val="20"/>
                  </w:rPr>
                  <m:t>h</m:t>
                </m:r>
              </m:sub>
            </m:sSub>
          </m:e>
        </m:d>
      </m:oMath>
      <w:r>
        <w:rPr>
          <w:rFonts w:hint="eastAsia"/>
          <w:sz w:val="20"/>
          <w:szCs w:val="20"/>
        </w:rPr>
        <w:t>，单位为弧度。主端旋转矩阵及位姿输入的齐次矩阵为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h,0</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x</m:t>
                        </m:r>
                      </m:sub>
                    </m:sSub>
                    <m:d>
                      <m:dPr/>
                      <m:e>
                        <m:sSub>
                          <m:sSubPr/>
                          <m:e>
                            <m:r>
                              <m:rPr/>
                              <w:rPr>
                                <w:rFonts w:ascii="Cambria Math" w:hAnsi="Cambria Math" w:eastAsia="Cambria Math" w:cs="Cambria Math"/>
                                <w:sz w:val="18"/>
                                <w:szCs w:val="18"/>
                              </w:rPr>
                              <m:t>ϕ</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y</m:t>
                        </m:r>
                      </m:sub>
                    </m:sSub>
                    <m:d>
                      <m:dPr/>
                      <m:e>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z</m:t>
                        </m:r>
                      </m:sub>
                    </m:sSub>
                    <m:d>
                      <m:dPr/>
                      <m:e>
                        <m:sSub>
                          <m:sSubPr/>
                          <m:e>
                            <m:r>
                              <m:rPr/>
                              <w:rPr>
                                <w:rFonts w:ascii="Cambria Math" w:hAnsi="Cambria Math" w:eastAsia="Cambria Math" w:cs="Cambria Math"/>
                                <w:sz w:val="18"/>
                                <w:szCs w:val="18"/>
                              </w:rPr>
                              <m:t>ψ</m:t>
                            </m:r>
                          </m:e>
                          <m:sub>
                            <m:r>
                              <m:rPr>
                                <m:sty m:val="p"/>
                              </m:rPr>
                              <w:rPr>
                                <w:rFonts w:ascii="Cambria Math" w:hAnsi="Cambria Math" w:eastAsia="Cambria Math" w:cs="Cambria Math"/>
                                <w:sz w:val="18"/>
                                <w:szCs w:val="18"/>
                              </w:rPr>
                              <m:t>h</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Dh</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e>
                </m:eqArr>
              </m:oMath>
            </m:oMathPara>
          </w:p>
        </w:tc>
        <w:tc>
          <w:tcPr>
            <w:tcW w:w="390" w:type="dxa"/>
            <w:vAlign w:val="center"/>
          </w:tcPr>
          <w:p w14:paraId="39CB4922">
            <w:pPr>
              <w:numPr>
                <w:ilvl w:val="0"/>
                <w:numId w:val="0"/>
              </w:numPr>
              <w:snapToGrid w:val="0"/>
              <w:jc w:val="right"/>
              <w:rPr>
                <w:sz w:val="16"/>
              </w:rPr>
            </w:pPr>
            <w:r>
              <w:rPr>
                <w:sz w:val="16"/>
                <w:szCs w:val="16"/>
              </w:rPr>
              <w:t>(30)</w:t>
            </w:r>
          </w:p>
        </w:tc>
      </w:tr>
    </w:tbl>
    <w:p w14:paraId="27CBECC9">
      <w:pPr>
        <w:pStyle w:val="7"/>
        <w:numPr>
          <w:ilvl w:val="0"/>
          <w:numId w:val="0"/>
        </w:numPr>
        <w:snapToGrid w:val="0"/>
        <w:rPr>
          <w:rFonts w:hint="eastAsia" w:eastAsia="宋体"/>
          <w:strike/>
          <w:dstrike w:val="0"/>
          <w:sz w:val="20"/>
          <w:highlight w:val="green"/>
          <w:lang w:eastAsia="zh-CN"/>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为手柄零位姿态相对 {D} 的固定安装旋转</w:t>
      </w:r>
      <w:r>
        <w:rPr>
          <w:rFonts w:hint="eastAsia"/>
          <w:sz w:val="20"/>
          <w:szCs w:val="20"/>
          <w:lang w:eastAsia="zh-CN"/>
        </w:rPr>
        <w:t>，</w:t>
      </w:r>
      <w:r>
        <w:rPr>
          <w:rFonts w:hint="eastAsia"/>
          <w:sz w:val="20"/>
          <w:szCs w:val="20"/>
        </w:rPr>
        <w:t>零位坐标轴与 {D} 对齐时，</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等于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3</m:t>
            </m:r>
          </m:sub>
        </m:sSub>
      </m:oMath>
      <w:r>
        <w:rPr>
          <w:rFonts w:hint="eastAsia"/>
          <w:sz w:val="20"/>
          <w:szCs w:val="20"/>
        </w:rPr>
        <w:t>。动轴旋转依次右乘，故三个关节的旋转矩阵按 roll、pitch、yaw 排列。</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oMath>
      <w:r>
        <w:rPr>
          <w:rFonts w:hint="eastAsia"/>
          <w:sz w:val="20"/>
          <w:szCs w:val="20"/>
        </w:rPr>
        <w:t xml:space="preserve"> 将手柄姿态坐标系的分量变换至 {D}</w:t>
      </w:r>
      <w:r>
        <w:rPr>
          <w:rFonts w:hint="eastAsia"/>
          <w:sz w:val="20"/>
          <w:szCs w:val="20"/>
          <w:lang w:eastAsia="zh-CN"/>
        </w:rPr>
        <w:t>。</w:t>
      </w:r>
    </w:p>
    <w:p w14:paraId="39B0740A">
      <w:pPr>
        <w:pStyle w:val="7"/>
        <w:numPr>
          <w:ilvl w:val="0"/>
          <w:numId w:val="0"/>
        </w:numPr>
        <w:snapToGrid w:val="0"/>
        <w:rPr>
          <w:sz w:val="20"/>
        </w:rPr>
      </w:pPr>
      <w:r>
        <w:rPr>
          <w:rFonts w:hint="eastAsia"/>
          <w:sz w:val="20"/>
          <w:szCs w:val="20"/>
        </w:rPr>
        <w:t xml:space="preserve">将从端机械臂基坐标系记为 {A}，与 II-C 节的坐标系 {0} 一致。初始化时记录主端位置零点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D,0</m:t>
            </m:r>
          </m:sub>
        </m:sSub>
      </m:oMath>
      <w:r>
        <w:rPr>
          <w:rFonts w:hint="eastAsia"/>
          <w:sz w:val="20"/>
          <w:szCs w:val="20"/>
        </w:rPr>
        <w:t xml:space="preserve"> 和从端参考位置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A,0</m:t>
            </m:r>
          </m:sub>
        </m:sSub>
      </m:oMath>
      <w:r>
        <w:rPr>
          <w:rFonts w:hint="eastAsia"/>
          <w:sz w:val="20"/>
          <w:szCs w:val="20"/>
        </w:rPr>
        <w:t>，由主端矩阵中的位置、姿态分块计算从端目标：</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d>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D,0</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tool</m:t>
                        </m:r>
                      </m:sub>
                    </m:sSub>
                    <m:r>
                      <m:rPr>
                        <m:sty m:val="p"/>
                      </m:rPr>
                      <w:rPr>
                        <w:rFonts w:ascii="Cambria Math" w:hAnsi="Cambria Math" w:eastAsia="Cambria Math" w:cs="Cambria Math"/>
                        <w:sz w:val="18"/>
                        <w:szCs w:val="18"/>
                      </w:rPr>
                      <m:t>.</m:t>
                    </m:r>
                  </m:e>
                </m:eqArr>
              </m:oMath>
            </m:oMathPara>
          </w:p>
        </w:tc>
        <w:tc>
          <w:tcPr>
            <w:tcW w:w="390" w:type="dxa"/>
            <w:vAlign w:val="center"/>
          </w:tcPr>
          <w:p w14:paraId="36F9BD1D">
            <w:pPr>
              <w:numPr>
                <w:ilvl w:val="0"/>
                <w:numId w:val="0"/>
              </w:numPr>
              <w:snapToGrid w:val="0"/>
              <w:jc w:val="right"/>
              <w:rPr>
                <w:sz w:val="16"/>
              </w:rPr>
            </w:pPr>
            <w:r>
              <w:rPr>
                <w:sz w:val="16"/>
                <w:szCs w:val="16"/>
              </w:rPr>
              <w:t>(31)</w:t>
            </w:r>
          </w:p>
        </w:tc>
      </w:tr>
    </w:tbl>
    <w:p w14:paraId="0BF1969F">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 xml:space="preserve"> 将 {D} 中的分量旋转至 {A}；</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d>
          <m:dPr/>
          <m:e>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z</m:t>
                </m:r>
              </m:sub>
            </m:sSub>
          </m:e>
        </m:d>
      </m:oMath>
      <w:r>
        <w:rPr>
          <w:rFonts w:hint="eastAsia"/>
          <w:sz w:val="20"/>
          <w:szCs w:val="20"/>
        </w:rPr>
        <w:t xml:space="preserve"> 为无量纲位置缩放矩阵，沿从端基坐标轴分别缩放；</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tool</m:t>
            </m:r>
          </m:sub>
        </m:sSub>
      </m:oMath>
      <w:r>
        <w:rPr>
          <w:rFonts w:hint="eastAsia"/>
          <w:sz w:val="20"/>
          <w:szCs w:val="20"/>
        </w:rPr>
        <w:t xml:space="preserve"> 为从端工具姿态相对手柄姿态的固定校准旋转。主端先完成姿态校准，再转换为 RPY 发送，因此接收端按同一动轴 X–Y–Z 约定还原后即可得到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w:t>
      </w:r>
    </w:p>
    <w:p w14:paraId="4BCDE9C3">
      <w:pPr>
        <w:pStyle w:val="7"/>
        <w:numPr>
          <w:ilvl w:val="0"/>
          <w:numId w:val="0"/>
        </w:numPr>
        <w:snapToGrid w:val="0"/>
        <w:rPr>
          <w:sz w:val="20"/>
        </w:rPr>
      </w:pPr>
      <w:r>
        <w:rPr>
          <w:rFonts w:hint="eastAsia"/>
          <w:sz w:val="20"/>
          <w:szCs w:val="20"/>
        </w:rPr>
        <w:t>将(31)的目标位置和姿态重新组合，得到从端末端相对机械臂基座的目标齐次变换矩阵：</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1B38611E">
            <w:pPr>
              <w:numPr>
                <w:ilvl w:val="0"/>
                <w:numId w:val="0"/>
              </w:numPr>
              <w:snapToGrid w:val="0"/>
              <w:jc w:val="right"/>
              <w:rPr>
                <w:sz w:val="16"/>
              </w:rPr>
            </w:pPr>
            <w:r>
              <w:rPr>
                <w:sz w:val="16"/>
                <w:szCs w:val="16"/>
              </w:rPr>
              <w:t>(32)</w:t>
            </w:r>
          </w:p>
        </w:tc>
      </w:tr>
    </w:tbl>
    <w:p w14:paraId="25B95CA1">
      <w:pPr>
        <w:pStyle w:val="7"/>
        <w:numPr>
          <w:ilvl w:val="0"/>
          <w:numId w:val="0"/>
        </w:numPr>
        <w:snapToGrid w:val="0"/>
        <w:rPr>
          <w:sz w:val="20"/>
        </w:rPr>
      </w:pPr>
      <w:r>
        <w:rPr>
          <w:rFonts w:hint="eastAsia"/>
          <w:sz w:val="20"/>
          <w:szCs w:val="20"/>
        </w:rPr>
        <w:t>该矩阵的旋转块与平移列分别对应 II-C 节的末端目标姿态和位置，关节指令由解析逆运动学（inverse kinematics，IK）映射得到：</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=IK</m:t>
                    </m:r>
                    <m:d>
                      <m:dPr/>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e>
                    </m:d>
                    <m:r>
                      <m:rPr>
                        <m:sty m:val="p"/>
                      </m:rPr>
                      <w:rPr>
                        <w:rFonts w:ascii="Cambria Math" w:hAnsi="Cambria Math" w:eastAsia="Cambria Math" w:cs="Cambria Math"/>
                        <w:sz w:val="18"/>
                        <w:szCs w:val="18"/>
                      </w:rPr>
                      <m:t>.</m:t>
                    </m:r>
                  </m:e>
                </m:eqArr>
              </m:oMath>
            </m:oMathPara>
          </w:p>
        </w:tc>
        <w:tc>
          <w:tcPr>
            <w:tcW w:w="390" w:type="dxa"/>
            <w:vAlign w:val="center"/>
          </w:tcPr>
          <w:p w14:paraId="6166FC46">
            <w:pPr>
              <w:numPr>
                <w:ilvl w:val="0"/>
                <w:numId w:val="0"/>
              </w:numPr>
              <w:snapToGrid w:val="0"/>
              <w:jc w:val="right"/>
              <w:rPr>
                <w:sz w:val="16"/>
              </w:rPr>
            </w:pPr>
            <w:r>
              <w:rPr>
                <w:sz w:val="16"/>
                <w:szCs w:val="16"/>
              </w:rPr>
              <w:t>(33)</w:t>
            </w:r>
          </w:p>
        </w:tc>
      </w:tr>
      <w:bookmarkEnd w:id="2"/>
      <w:bookmarkEnd w:id="11"/>
      <w:bookmarkEnd w:id="14"/>
    </w:tbl>
    <w:p w14:paraId="7A120001">
      <w:pPr>
        <w:pStyle w:val="2"/>
        <w:numPr>
          <w:ilvl w:val="0"/>
          <w:numId w:val="0"/>
        </w:numPr>
        <w:snapToGrid w:val="0"/>
      </w:pPr>
      <w:r>
        <w:rPr>
          <w:rFonts w:ascii="Times New Roman" w:hAnsi="Times New Roman" w:eastAsia="宋体"/>
          <w:sz w:val="20"/>
          <w:szCs w:val="20"/>
        </w:rPr>
        <w:t>III. 实验与结果（Experiments and Results）</w:t>
      </w:r>
    </w:p>
    <w:p w14:paraId="7A120002">
      <w:pPr>
        <w:pStyle w:val="7"/>
        <w:numPr>
          <w:ilvl w:val="0"/>
          <w:numId w:val="0"/>
        </w:numPr>
        <w:snapToGrid w:val="0"/>
        <w:rPr>
          <w:rFonts w:hint="default" w:eastAsia="宋体"/>
          <w:sz w:val="20"/>
          <w:szCs w:val="20"/>
          <w:lang w:val="en-US" w:eastAsia="zh-CN"/>
        </w:rPr>
      </w:pPr>
      <w:r>
        <w:rPr>
          <w:rFonts w:ascii="Times New Roman" w:hAnsi="Times New Roman" w:eastAsia="宋体"/>
          <w:sz w:val="20"/>
          <w:szCs w:val="20"/>
        </w:rPr>
        <w:t>本节基于</w:t>
      </w:r>
      <w:r>
        <w:rPr>
          <w:rFonts w:hint="eastAsia"/>
          <w:sz w:val="20"/>
          <w:szCs w:val="20"/>
          <w:lang w:val="en-US" w:eastAsia="zh-CN"/>
        </w:rPr>
        <w:t>前</w:t>
      </w:r>
      <w:r>
        <w:rPr>
          <w:rFonts w:ascii="Times New Roman" w:hAnsi="Times New Roman" w:eastAsia="宋体"/>
          <w:sz w:val="20"/>
          <w:szCs w:val="20"/>
        </w:rPr>
        <w:t>文设计的机械结构进行</w:t>
      </w:r>
      <w:r>
        <w:rPr>
          <w:rFonts w:hint="eastAsia"/>
          <w:sz w:val="20"/>
          <w:szCs w:val="20"/>
          <w:lang w:val="en-US" w:eastAsia="zh-CN"/>
        </w:rPr>
        <w:t>仿真建模、</w:t>
      </w:r>
      <w:r>
        <w:rPr>
          <w:rFonts w:hint="eastAsia"/>
          <w:sz w:val="20"/>
          <w:szCs w:val="20"/>
        </w:rPr>
        <w:t>几何计算与工作空间分析，分别讨论机械臂夹爪中心及遥操作控制器动平台中心的位置覆盖范围</w:t>
      </w:r>
      <w:r>
        <w:rPr>
          <w:rFonts w:hint="eastAsia"/>
          <w:sz w:val="20"/>
          <w:szCs w:val="20"/>
          <w:lang w:eastAsia="zh-CN"/>
        </w:rPr>
        <w:t>，</w:t>
      </w:r>
      <w:r>
        <w:rPr>
          <w:rFonts w:hint="eastAsia"/>
          <w:sz w:val="20"/>
          <w:szCs w:val="20"/>
        </w:rPr>
        <w:t>用于说明结构参数与运动学映射之间的关系</w:t>
      </w:r>
      <w:r>
        <w:rPr>
          <w:rFonts w:hint="eastAsia"/>
          <w:color w:val="FF0000"/>
          <w:sz w:val="20"/>
          <w:szCs w:val="20"/>
          <w:lang w:eastAsia="zh-CN"/>
        </w:rPr>
        <w:t>；</w:t>
      </w:r>
      <w:r>
        <w:rPr>
          <w:rFonts w:hint="eastAsia"/>
          <w:color w:val="FF0000"/>
          <w:sz w:val="20"/>
          <w:szCs w:val="20"/>
          <w:lang w:val="en-US" w:eastAsia="zh-CN"/>
        </w:rPr>
        <w:t>同时节末给出机器人系统的实物运动与控制展示，以完整演示机器人系统的地形跨越能力和遥操作控制效果。</w:t>
      </w:r>
    </w:p>
    <w:p w14:paraId="7A120008">
      <w:pPr>
        <w:pStyle w:val="3"/>
        <w:numPr>
          <w:ilvl w:val="1"/>
          <w:numId w:val="0"/>
        </w:numPr>
        <w:snapToGrid w:val="0"/>
      </w:pPr>
      <w:r>
        <w:rPr>
          <w:rFonts w:ascii="Times New Roman" w:hAnsi="Times New Roman" w:eastAsia="宋体"/>
          <w:sz w:val="20"/>
          <w:szCs w:val="20"/>
        </w:rPr>
        <w:t>A. 机械臂夹爪中心工作空间</w:t>
      </w:r>
    </w:p>
    <w:p w14:paraId="7A120009">
      <w:pPr>
        <w:pStyle w:val="7"/>
        <w:numPr>
          <w:ilvl w:val="0"/>
          <w:numId w:val="0"/>
        </w:numPr>
        <w:snapToGrid w:val="0"/>
        <w:rPr>
          <w:sz w:val="20"/>
        </w:rPr>
      </w:pPr>
      <w:r>
        <w:rPr>
          <w:rFonts w:hint="eastAsia"/>
          <w:sz w:val="20"/>
          <w:szCs w:val="20"/>
          <w:lang w:eastAsia="zh-CN"/>
        </w:rPr>
        <w:t>机械臂工作空间</w:t>
      </w:r>
      <w:r>
        <w:rPr>
          <w:rFonts w:hint="eastAsia"/>
          <w:sz w:val="20"/>
          <w:szCs w:val="20"/>
        </w:rPr>
        <w:t>采用</w:t>
      </w:r>
      <w:r>
        <w:rPr>
          <w:rFonts w:hint="eastAsia"/>
          <w:sz w:val="20"/>
          <w:szCs w:val="20"/>
          <w:lang w:val="en-US" w:eastAsia="zh-CN"/>
        </w:rPr>
        <w:t>前文</w:t>
      </w:r>
      <w:r>
        <w:rPr>
          <w:rFonts w:hint="eastAsia"/>
          <w:sz w:val="20"/>
          <w:szCs w:val="20"/>
        </w:rPr>
        <w:t>机械结构模型中的关节中心距与工具尺寸</w:t>
      </w:r>
      <w:r>
        <w:rPr>
          <w:rFonts w:hint="eastAsia"/>
          <w:sz w:val="20"/>
          <w:szCs w:val="20"/>
          <w:lang w:eastAsia="zh-CN"/>
        </w:rPr>
        <w:t>，</w:t>
      </w:r>
      <w:r>
        <w:rPr>
          <w:rFonts w:hint="eastAsia"/>
          <w:sz w:val="20"/>
          <w:szCs w:val="20"/>
          <w:lang w:val="en-US" w:eastAsia="zh-CN"/>
        </w:rPr>
        <w:t>在不计机器人实体碰撞的情况下进行理论分析和仿真建模，初步探索六轴机械臂理论可达的最大工作空间</w:t>
      </w:r>
      <w:r>
        <w:rPr>
          <w:rFonts w:hint="eastAsia"/>
          <w:sz w:val="20"/>
          <w:szCs w:val="20"/>
        </w:rPr>
        <w:t>。其中，第二至第三关节的</w:t>
      </w:r>
      <w:r>
        <w:rPr>
          <w:rFonts w:hint="eastAsia"/>
          <w:sz w:val="20"/>
          <w:szCs w:val="20"/>
          <w:lang w:eastAsia="zh-CN"/>
        </w:rPr>
        <w:t>轴间距</w:t>
      </w:r>
      <w:r>
        <w:rPr>
          <w:rFonts w:hint="eastAsia"/>
          <w:sz w:val="20"/>
          <w:szCs w:val="20"/>
        </w:rPr>
        <w:t>为 360 mm，第三关节至腕心的轴向距离</w:t>
      </w:r>
      <w:r>
        <w:rPr>
          <w:rFonts w:hint="eastAsia"/>
          <w:sz w:val="20"/>
          <w:szCs w:val="20"/>
          <w:lang w:eastAsia="zh-CN"/>
        </w:rPr>
        <w:t>轴</w:t>
      </w:r>
      <w:r>
        <w:rPr>
          <w:rFonts w:hint="eastAsia"/>
          <w:sz w:val="20"/>
          <w:szCs w:val="20"/>
          <w:lang w:val="en-US" w:eastAsia="zh-CN"/>
        </w:rPr>
        <w:t>-</w:t>
      </w:r>
      <w:r>
        <w:rPr>
          <w:rFonts w:hint="eastAsia"/>
          <w:sz w:val="20"/>
          <w:szCs w:val="20"/>
          <w:lang w:eastAsia="zh-CN"/>
        </w:rPr>
        <w:t>点距离</w:t>
      </w:r>
      <w:r>
        <w:rPr>
          <w:rFonts w:hint="eastAsia"/>
          <w:sz w:val="20"/>
          <w:szCs w:val="20"/>
        </w:rPr>
        <w:t>为 382 mm，腕心至夹爪中心的工具轴向距离为 184.1 mm。</w:t>
      </w:r>
      <w:r>
        <w:rPr>
          <w:rFonts w:hint="eastAsia"/>
          <w:sz w:val="20"/>
          <w:szCs w:val="20"/>
          <w:lang w:eastAsia="zh-CN"/>
        </w:rPr>
        <w:t>以机械臂坐标系</w:t>
      </w:r>
      <w:r>
        <w:rPr>
          <w:rFonts w:hint="eastAsia"/>
          <w:sz w:val="20"/>
          <w:szCs w:val="20"/>
          <w:lang w:val="en-US" w:eastAsia="zh-CN"/>
        </w:rPr>
        <w:t>{0}作为参考坐标系，对机械臂工作空间进行蒙特卡洛采样，</w:t>
      </w:r>
      <w:r>
        <w:rPr>
          <w:rFonts w:hint="eastAsia"/>
          <w:sz w:val="20"/>
          <w:szCs w:val="20"/>
        </w:rPr>
        <w:t>并将夹爪中心</w:t>
      </w:r>
      <w:r>
        <w:rPr>
          <w:rFonts w:ascii="Times New Roman" w:hAnsi="Times New Roman" w:eastAsia="宋体"/>
          <w:sz w:val="20"/>
          <w:szCs w:val="20"/>
        </w:rPr>
        <w:t>位置绘制为三维点云及径向–高度投影，如 Fig. 11(a) 和 (b) 所示。</w:t>
      </w:r>
    </w:p>
    <w:p w14:paraId="7A120010">
      <w:pPr>
        <w:pStyle w:val="7"/>
        <w:numPr>
          <w:ilvl w:val="0"/>
          <w:numId w:val="0"/>
        </w:numPr>
        <w:snapToGrid w:val="0"/>
        <w:rPr>
          <w:rFonts w:hint="eastAsia"/>
          <w:sz w:val="20"/>
          <w:szCs w:val="20"/>
        </w:rPr>
      </w:pPr>
      <w:r>
        <w:rPr>
          <w:rFonts w:hint="eastAsia"/>
          <w:sz w:val="20"/>
          <w:szCs w:val="20"/>
          <w:lang w:val="en-US" w:eastAsia="zh-CN"/>
        </w:rPr>
        <w:t>根据仿真结果，</w:t>
      </w:r>
      <w:r>
        <w:rPr>
          <w:rFonts w:hint="eastAsia"/>
          <w:sz w:val="20"/>
          <w:szCs w:val="20"/>
        </w:rPr>
        <w:t>夹爪中心的采样最大径向距离为 820.66 mm，竖直</w:t>
      </w:r>
      <w:r>
        <w:rPr>
          <w:rFonts w:hint="eastAsia"/>
          <w:sz w:val="20"/>
          <w:szCs w:val="20"/>
          <w:lang w:eastAsia="zh-CN"/>
        </w:rPr>
        <w:t>可达区间</w:t>
      </w:r>
      <w:r>
        <w:rPr>
          <w:rFonts w:hint="eastAsia"/>
          <w:sz w:val="20"/>
          <w:szCs w:val="20"/>
        </w:rPr>
        <w:t>为 −237.44 至 683.52 mm。</w:t>
      </w:r>
      <w:r>
        <w:rPr>
          <w:rFonts w:hint="eastAsia"/>
          <w:sz w:val="20"/>
          <w:szCs w:val="20"/>
          <w:lang w:val="en-US" w:eastAsia="zh-CN"/>
        </w:rPr>
        <w:t>在此基础上，结合四轮足底盘升降，还可以通过改变机械臂基座在世界坐标系中的位置，进一步扩大机器人末端位置覆盖范围。</w:t>
      </w:r>
    </w:p>
    <w:p w14:paraId="7A120013">
      <w:pPr>
        <w:pStyle w:val="3"/>
        <w:numPr>
          <w:ilvl w:val="1"/>
          <w:numId w:val="0"/>
        </w:numPr>
        <w:snapToGrid w:val="0"/>
      </w:pPr>
      <w:r>
        <w:rPr>
          <w:rFonts w:ascii="Times New Roman" w:hAnsi="Times New Roman" w:eastAsia="宋体"/>
          <w:sz w:val="20"/>
          <w:szCs w:val="20"/>
        </w:rPr>
        <w:t>B. 遥操作控制器平移工作空间</w:t>
      </w:r>
    </w:p>
    <w:p w14:paraId="7A120014">
      <w:pPr>
        <w:pStyle w:val="7"/>
        <w:numPr>
          <w:ilvl w:val="0"/>
          <w:numId w:val="0"/>
        </w:numPr>
        <w:snapToGrid w:val="0"/>
        <w:rPr>
          <w:rFonts w:hint="default" w:eastAsia="宋体"/>
          <w:sz w:val="20"/>
          <w:lang w:val="en-US" w:eastAsia="zh-CN"/>
        </w:rPr>
      </w:pPr>
      <w:r>
        <w:rPr>
          <w:rFonts w:ascii="Times New Roman" w:hAnsi="Times New Roman" w:eastAsia="宋体"/>
          <w:sz w:val="20"/>
          <w:szCs w:val="20"/>
        </w:rPr>
        <w:t>采用 TABLE II 的 Delta 机构几何参数，</w:t>
      </w:r>
      <w:r>
        <w:rPr>
          <w:rFonts w:hint="eastAsia" w:ascii="Times New Roman" w:hAnsi="Times New Roman" w:eastAsia="宋体"/>
          <w:sz w:val="20"/>
          <w:szCs w:val="20"/>
          <w:lang w:val="en-US" w:eastAsia="zh-CN"/>
        </w:rPr>
        <w:t>同样在不</w:t>
      </w:r>
      <w:r>
        <w:rPr>
          <w:rFonts w:ascii="Times New Roman" w:hAnsi="Times New Roman" w:eastAsia="宋体"/>
          <w:sz w:val="20"/>
          <w:szCs w:val="20"/>
        </w:rPr>
        <w:t>计构件之间的实体碰撞</w:t>
      </w:r>
      <w:r>
        <w:rPr>
          <w:rFonts w:hint="eastAsia" w:ascii="Times New Roman" w:hAnsi="Times New Roman" w:eastAsia="宋体"/>
          <w:sz w:val="20"/>
          <w:szCs w:val="20"/>
          <w:lang w:eastAsia="zh-CN"/>
        </w:rPr>
        <w:t>，</w:t>
      </w:r>
      <w:r>
        <w:rPr>
          <w:rFonts w:hint="eastAsia" w:ascii="Times New Roman" w:hAnsi="Times New Roman" w:eastAsia="宋体"/>
          <w:sz w:val="20"/>
          <w:szCs w:val="20"/>
          <w:lang w:val="en-US" w:eastAsia="zh-CN"/>
        </w:rPr>
        <w:t>只</w:t>
      </w:r>
      <w:r>
        <w:rPr>
          <w:rFonts w:ascii="Times New Roman" w:hAnsi="Times New Roman" w:eastAsia="宋体"/>
          <w:sz w:val="20"/>
          <w:szCs w:val="20"/>
        </w:rPr>
        <w:t>考虑支链几何关系</w:t>
      </w:r>
      <w:r>
        <w:rPr>
          <w:rFonts w:hint="eastAsia" w:ascii="Times New Roman" w:hAnsi="Times New Roman" w:eastAsia="宋体"/>
          <w:sz w:val="20"/>
          <w:szCs w:val="20"/>
          <w:lang w:val="en-US" w:eastAsia="zh-CN"/>
        </w:rPr>
        <w:t>的前提下进行仿真建模，</w:t>
      </w:r>
      <w:r>
        <w:rPr>
          <w:rFonts w:ascii="Times New Roman" w:hAnsi="Times New Roman" w:eastAsia="宋体"/>
          <w:sz w:val="20"/>
          <w:szCs w:val="20"/>
        </w:rPr>
        <w:t>分析动平台中心位于工作侧时的</w:t>
      </w:r>
      <w:r>
        <w:rPr>
          <w:rFonts w:hint="eastAsia" w:ascii="Times New Roman" w:hAnsi="Times New Roman" w:eastAsia="宋体"/>
          <w:sz w:val="20"/>
          <w:szCs w:val="20"/>
          <w:lang w:val="en-US" w:eastAsia="zh-CN"/>
        </w:rPr>
        <w:t>理论</w:t>
      </w:r>
      <w:r>
        <w:rPr>
          <w:rFonts w:ascii="Times New Roman" w:hAnsi="Times New Roman" w:eastAsia="宋体"/>
          <w:sz w:val="20"/>
          <w:szCs w:val="20"/>
        </w:rPr>
        <w:t>几何可达位置，并将结果统一表达于本文定义的右手坐标系 {D}。Fig. 11(c) 给出三维工作空间示意</w:t>
      </w:r>
      <w:r>
        <w:rPr>
          <w:rFonts w:hint="eastAsia"/>
          <w:sz w:val="20"/>
          <w:szCs w:val="20"/>
          <w:lang w:eastAsia="zh-CN"/>
        </w:rPr>
        <w:t>。</w:t>
      </w:r>
    </w:p>
    <w:p w14:paraId="7A120015">
      <w:pPr>
        <w:pStyle w:val="7"/>
        <w:numPr>
          <w:ilvl w:val="0"/>
          <w:numId w:val="0"/>
        </w:numPr>
        <w:snapToGrid w:val="0"/>
        <w:rPr>
          <w:sz w:val="20"/>
          <w:highlight w:val="yellow"/>
        </w:rPr>
      </w:pPr>
      <w:r>
        <w:rPr>
          <w:rFonts w:ascii="Times New Roman" w:hAnsi="Times New Roman" w:eastAsia="宋体"/>
          <w:sz w:val="20"/>
          <w:szCs w:val="20"/>
        </w:rPr>
        <w:t xml:space="preserve">沿 </w:t>
      </w:r>
      <m:oMath>
        <m:sSub>
          <m:sSubPr/>
          <m:e>
            <m:r>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20"/>
          <w:szCs w:val="20"/>
        </w:rPr>
        <w:t>、</w:t>
      </w:r>
      <m:oMath>
        <m:sSub>
          <m:sSubPr/>
          <m:e>
            <m:r>
              <m:rPr/>
              <w:rPr>
                <w:rFonts w:ascii="Cambria Math" w:hAnsi="Cambria Math"/>
                <w:sz w:val="20"/>
              </w:rPr>
              <m:t>y</m:t>
            </m:r>
          </m:e>
          <m:sub>
            <m:r>
              <m:rPr>
                <m:sty m:val="p"/>
              </m:rPr>
              <w:rPr>
                <w:rFonts w:ascii="Cambria Math" w:hAnsi="Cambria Math"/>
                <w:sz w:val="20"/>
              </w:rPr>
              <m:t>D</m:t>
            </m:r>
          </m:sub>
        </m:sSub>
      </m:oMath>
      <w:r>
        <w:rPr>
          <w:rFonts w:ascii="Times New Roman" w:hAnsi="Times New Roman" w:eastAsia="宋体"/>
          <w:sz w:val="20"/>
          <w:szCs w:val="20"/>
        </w:rPr>
        <w:t xml:space="preserve"> 和 </w:t>
      </w:r>
      <m:oMath>
        <m:sSub>
          <m:sSubPr/>
          <m:e>
            <m:r>
              <m:rPr/>
              <w:rPr>
                <w:rFonts w:ascii="Cambria Math" w:hAnsi="Cambria Math"/>
                <w:sz w:val="20"/>
              </w:rPr>
              <m:t>z</m:t>
            </m:r>
          </m:e>
          <m:sub>
            <m:r>
              <m:rPr>
                <m:sty m:val="p"/>
              </m:rPr>
              <w:rPr>
                <w:rFonts w:ascii="Cambria Math" w:hAnsi="Cambria Math"/>
                <w:sz w:val="20"/>
              </w:rPr>
              <m:t>D</m:t>
            </m:r>
          </m:sub>
        </m:sSub>
      </m:oMath>
      <w:r>
        <w:rPr>
          <w:rFonts w:ascii="Times New Roman" w:hAnsi="Times New Roman" w:eastAsia="宋体"/>
          <w:sz w:val="20"/>
          <w:szCs w:val="20"/>
        </w:rPr>
        <w:t xml:space="preserve"> 的外包络坐标范围依次为 −348.80 至 0.00 mm、−200.00 至 200.00 mm 和 −230.94 至 230.94 mm，对应尺寸为 348.80 × 400.00 × 461.88 mm。中心轴 </w:t>
      </w:r>
      <m:oMath>
        <m:sSub>
          <m:sSubPr/>
          <m:e>
            <m:r>
              <m:rPr/>
              <w:rPr>
                <w:rFonts w:ascii="Cambria Math" w:hAnsi="Cambria Math"/>
                <w:sz w:val="20"/>
              </w:rPr>
              <m:t>y</m:t>
            </m:r>
          </m:e>
          <m:sub>
            <m:r>
              <m:rPr>
                <m:sty m:val="p"/>
              </m:rPr>
              <w:rPr>
                <w:rFonts w:ascii="Cambria Math" w:hAnsi="Cambria Math"/>
                <w:sz w:val="20"/>
              </w:rPr>
              <m:t>D</m:t>
            </m:r>
          </m:sub>
        </m:sSub>
        <m:r>
          <m:rPr>
            <m:sty m:val="p"/>
          </m:rPr>
          <w:rPr>
            <w:rFonts w:ascii="Cambria Math" w:hAnsi="Cambria Math"/>
            <w:sz w:val="20"/>
          </w:rPr>
          <m:t>=</m:t>
        </m:r>
        <m:sSub>
          <m:sSubPr/>
          <m:e>
            <m:r>
              <m:rPr/>
              <w:rPr>
                <w:rFonts w:ascii="Cambria Math" w:hAnsi="Cambria Math"/>
                <w:sz w:val="20"/>
              </w:rPr>
              <m:t>z</m:t>
            </m:r>
          </m:e>
          <m:sub>
            <m:r>
              <m:rPr>
                <m:sty m:val="p"/>
              </m:rPr>
              <w:rPr>
                <w:rFonts w:ascii="Cambria Math" w:hAnsi="Cambria Math"/>
                <w:sz w:val="20"/>
              </w:rPr>
              <m:t>D</m:t>
            </m:r>
          </m:sub>
        </m:sSub>
        <m:r>
          <m:rPr>
            <m:sty m:val="p"/>
          </m:rPr>
          <w:rPr>
            <w:rFonts w:ascii="Cambria Math" w:hAnsi="Cambria Math"/>
            <w:sz w:val="20"/>
          </w:rPr>
          <m:t>=0</m:t>
        </m:r>
      </m:oMath>
      <w:r>
        <w:rPr>
          <w:rFonts w:ascii="Times New Roman" w:hAnsi="Times New Roman" w:eastAsia="宋体"/>
          <w:sz w:val="20"/>
          <w:szCs w:val="20"/>
        </w:rPr>
        <w:t xml:space="preserve"> 上，</w:t>
      </w:r>
      <m:oMath>
        <m:sSub>
          <m:sSubPr/>
          <m:e>
            <m:r>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20"/>
          <w:szCs w:val="20"/>
        </w:rPr>
        <w:t xml:space="preserve"> 的可达区间为 −348.80 至 −89.21 mm。</w:t>
      </w:r>
      <w:r>
        <w:rPr>
          <w:rFonts w:hint="eastAsia" w:ascii="Times New Roman" w:hAnsi="Times New Roman" w:eastAsia="宋体"/>
          <w:sz w:val="20"/>
          <w:szCs w:val="20"/>
          <w:lang w:val="en-US" w:eastAsia="zh-CN"/>
        </w:rPr>
        <w:t>以上</w:t>
      </w:r>
      <w:r>
        <w:rPr>
          <w:rFonts w:ascii="Times New Roman" w:hAnsi="Times New Roman" w:eastAsia="宋体"/>
          <w:sz w:val="20"/>
          <w:szCs w:val="20"/>
        </w:rPr>
        <w:t>外包络</w:t>
      </w:r>
      <w:r>
        <w:rPr>
          <w:rFonts w:hint="eastAsia" w:ascii="Times New Roman" w:hAnsi="Times New Roman" w:eastAsia="宋体"/>
          <w:sz w:val="20"/>
          <w:szCs w:val="20"/>
          <w:lang w:val="en-US" w:eastAsia="zh-CN"/>
        </w:rPr>
        <w:t>坐标范围仅</w:t>
      </w:r>
      <w:r>
        <w:rPr>
          <w:rFonts w:ascii="Times New Roman" w:hAnsi="Times New Roman" w:eastAsia="宋体"/>
          <w:sz w:val="20"/>
          <w:szCs w:val="20"/>
        </w:rPr>
        <w:t>给出各方向的坐标跨度，</w:t>
      </w:r>
      <w:r>
        <w:rPr>
          <w:rFonts w:hint="eastAsia" w:ascii="Times New Roman" w:hAnsi="Times New Roman" w:eastAsia="宋体"/>
          <w:sz w:val="20"/>
          <w:szCs w:val="20"/>
          <w:lang w:val="en-US" w:eastAsia="zh-CN"/>
        </w:rPr>
        <w:t>但</w:t>
      </w:r>
      <w:r>
        <w:rPr>
          <w:rFonts w:ascii="Times New Roman" w:hAnsi="Times New Roman" w:eastAsia="宋体"/>
          <w:sz w:val="20"/>
          <w:szCs w:val="20"/>
        </w:rPr>
        <w:t>其内部长方体并非全部可达；静平台附近还存在由支链几何关系形成的不可达区域。</w:t>
      </w:r>
    </w:p>
    <w:p w14:paraId="7A120016">
      <w:pPr>
        <w:pStyle w:val="7"/>
        <w:numPr>
          <w:ilvl w:val="0"/>
          <w:numId w:val="0"/>
        </w:numPr>
        <w:snapToGrid w:val="0"/>
        <w:rPr>
          <w:sz w:val="20"/>
        </w:rPr>
        <w:sectPr>
          <w:type w:val="continuous"/>
          <w:pgSz w:w="11906" w:h="16838"/>
          <w:pgMar w:top="1080" w:right="907" w:bottom="1440" w:left="907" w:header="720" w:footer="720" w:gutter="0"/>
          <w:cols w:space="360" w:num="2"/>
          <w:docGrid w:linePitch="360" w:charSpace="0"/>
        </w:sectPr>
      </w:pPr>
      <w:r>
        <w:rPr>
          <w:rFonts w:ascii="Times New Roman" w:hAnsi="Times New Roman" w:eastAsia="宋体"/>
          <w:sz w:val="20"/>
          <w:szCs w:val="20"/>
        </w:rPr>
        <w:t>上述结果描述主手的平移输入空间，</w:t>
      </w:r>
      <w:r>
        <w:rPr>
          <w:rFonts w:hint="eastAsia" w:ascii="Times New Roman" w:hAnsi="Times New Roman" w:eastAsia="宋体"/>
          <w:sz w:val="20"/>
          <w:szCs w:val="20"/>
          <w:lang w:val="en-US" w:eastAsia="zh-CN"/>
        </w:rPr>
        <w:t>为</w:t>
      </w:r>
      <w:r>
        <w:rPr>
          <w:rFonts w:ascii="Times New Roman" w:hAnsi="Times New Roman" w:eastAsia="宋体"/>
          <w:sz w:val="20"/>
          <w:szCs w:val="20"/>
        </w:rPr>
        <w:t>位置映射比例与操作参考点选择</w:t>
      </w:r>
      <w:r>
        <w:rPr>
          <w:rFonts w:hint="eastAsia" w:ascii="Times New Roman" w:hAnsi="Times New Roman" w:eastAsia="宋体"/>
          <w:sz w:val="20"/>
          <w:szCs w:val="20"/>
          <w:lang w:val="en-US" w:eastAsia="zh-CN"/>
        </w:rPr>
        <w:t>提供</w:t>
      </w:r>
      <w:r>
        <w:rPr>
          <w:rFonts w:ascii="Times New Roman" w:hAnsi="Times New Roman" w:eastAsia="宋体"/>
          <w:sz w:val="20"/>
          <w:szCs w:val="20"/>
        </w:rPr>
        <w:t>依据。配合手柄上的</w:t>
      </w:r>
      <w:r>
        <w:rPr>
          <w:rFonts w:hint="eastAsia" w:ascii="Times New Roman" w:hAnsi="Times New Roman" w:eastAsia="宋体"/>
          <w:sz w:val="20"/>
          <w:szCs w:val="20"/>
          <w:lang w:eastAsia="zh-CN"/>
        </w:rPr>
        <w:t>重初始化</w:t>
      </w:r>
      <w:r>
        <w:rPr>
          <w:rFonts w:ascii="Times New Roman" w:hAnsi="Times New Roman" w:eastAsia="宋体"/>
          <w:sz w:val="20"/>
          <w:szCs w:val="20"/>
        </w:rPr>
        <w:t>按钮，可在保持从端目标连续的同时分段调整主手参考位置；三轴手柄的姿态输入则继续按前述动轴 RPY 顺序独立计算。</w:t>
      </w:r>
    </w:p>
    <w:p w14:paraId="7A120017">
      <w:pPr>
        <w:keepNext/>
        <w:keepLines/>
        <w:numPr>
          <w:ilvl w:val="0"/>
          <w:numId w:val="0"/>
        </w:numPr>
        <w:snapToGrid w:val="0"/>
        <w:spacing w:before="60" w:after="60" w:line="240" w:lineRule="auto"/>
        <w:ind w:left="0" w:right="0" w:firstLine="0"/>
        <w:jc w:val="center"/>
      </w:pPr>
      <w:r>
        <w:drawing>
          <wp:inline distT="0" distB="0" distL="0" distR="0">
            <wp:extent cx="5940000" cy="1980000"/>
            <wp:effectExtent l="0" t="0" r="0" b="0"/>
            <wp:docPr id="37" name="Fig. 11" descr="Gripper 3D workspace, radial-height projection, and Delta workspace; horizontal three-panel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11" descr="Gripper 3D workspace, radial-height projection, and Delta workspace; horizontal three-panel figure"/>
                    <pic:cNvPicPr>
                      <a:picLocks noChangeAspect="1"/>
                    </pic:cNvPicPr>
                  </pic:nvPicPr>
                  <pic:blipFill>
                    <a:blip r:embed="rId19"/>
                    <a:stretch>
                      <a:fillRect/>
                    </a:stretch>
                  </pic:blipFill>
                  <pic:spPr>
                    <a:xfrm>
                      <a:off x="0" y="0"/>
                      <a:ext cx="5940000" cy="1980000"/>
                    </a:xfrm>
                    <a:prstGeom prst="rect">
                      <a:avLst/>
                    </a:prstGeom>
                  </pic:spPr>
                </pic:pic>
              </a:graphicData>
            </a:graphic>
          </wp:inline>
        </w:drawing>
      </w:r>
    </w:p>
    <w:p w14:paraId="7A120018">
      <w:pPr>
        <w:pStyle w:val="18"/>
        <w:numPr>
          <w:ilvl w:val="0"/>
          <w:numId w:val="0"/>
        </w:numPr>
        <w:snapToGrid w:val="0"/>
        <w:sectPr>
          <w:type w:val="continuous"/>
          <w:pgSz w:w="11906" w:h="16838"/>
          <w:pgMar w:top="1080" w:right="907" w:bottom="1440" w:left="907" w:header="720" w:footer="720" w:gutter="0"/>
          <w:cols w:space="360" w:num="1"/>
          <w:docGrid w:linePitch="360" w:charSpace="0"/>
        </w:sectPr>
      </w:pPr>
      <w:r>
        <w:rPr>
          <w:rFonts w:ascii="Times New Roman" w:hAnsi="Times New Roman" w:eastAsia="宋体"/>
          <w:sz w:val="18"/>
          <w:szCs w:val="18"/>
        </w:rPr>
        <w:t xml:space="preserve">Fig. 11. 机械臂与遥操作控制器的工作空间。（a）夹爪中心的三维采样点云。（b）夹爪中心的径向–高度投影。（c）Delta 动平台中心的三维工作空间示意，工作侧为 </w:t>
      </w:r>
      <m:oMath>
        <m:sSub>
          <m:sSubPr/>
          <m:e>
            <m:r>
              <m:rPr/>
              <w:rPr>
                <w:rFonts w:ascii="Cambria Math" w:hAnsi="Cambria Math"/>
                <w:sz w:val="20"/>
              </w:rPr>
              <m:t>x</m:t>
            </m:r>
          </m:e>
          <m:sub>
            <m:r>
              <m:rPr>
                <m:sty m:val="p"/>
              </m:rPr>
              <w:rPr>
                <w:rFonts w:ascii="Cambria Math" w:hAnsi="Cambria Math"/>
                <w:sz w:val="20"/>
              </w:rPr>
              <m:t>D</m:t>
            </m:r>
          </m:sub>
        </m:sSub>
        <m:r>
          <m:rPr>
            <m:sty m:val="p"/>
          </m:rPr>
          <w:rPr>
            <w:rFonts w:ascii="Cambria Math" w:hAnsi="Cambria Math"/>
            <w:sz w:val="20"/>
          </w:rPr>
          <m:t>&lt;0</m:t>
        </m:r>
      </m:oMath>
      <w:r>
        <w:rPr>
          <w:rFonts w:ascii="Times New Roman" w:hAnsi="Times New Roman" w:eastAsia="宋体"/>
          <w:sz w:val="18"/>
          <w:szCs w:val="18"/>
        </w:rPr>
        <w:t xml:space="preserve">。图中沿 </w:t>
      </w:r>
      <m:oMath>
        <m:sSub>
          <m:sSubPr/>
          <m:e>
            <m:r>
              <m:rPr/>
              <w:rPr>
                <w:rFonts w:ascii="Cambria Math" w:hAnsi="Cambria Math"/>
                <w:sz w:val="20"/>
              </w:rPr>
              <m:t>z</m:t>
            </m:r>
          </m:e>
          <m:sub>
            <m:r>
              <m:rPr>
                <m:sty m:val="p"/>
              </m:rPr>
              <w:rPr>
                <w:rFonts w:ascii="Cambria Math" w:hAnsi="Cambria Math"/>
                <w:sz w:val="20"/>
              </w:rPr>
              <m:t>D</m:t>
            </m:r>
          </m:sub>
        </m:sSub>
      </m:oMath>
      <w:r>
        <w:rPr>
          <w:rFonts w:ascii="Times New Roman" w:hAnsi="Times New Roman" w:eastAsia="宋体"/>
          <w:sz w:val="18"/>
          <w:szCs w:val="18"/>
        </w:rPr>
        <w:t>、</w:t>
      </w:r>
      <m:oMath>
        <m:r>
          <m:rPr>
            <m:sty m:val="p"/>
          </m:rPr>
          <w:rPr>
            <w:rFonts w:ascii="Cambria Math" w:hAnsi="Cambria Math"/>
            <w:sz w:val="20"/>
          </w:rPr>
          <m:t>−</m:t>
        </m:r>
        <m:sSub>
          <m:sSubPr/>
          <m:e>
            <m:r>
              <m:rPr/>
              <w:rPr>
                <w:rFonts w:ascii="Cambria Math" w:hAnsi="Cambria Math"/>
                <w:sz w:val="20"/>
              </w:rPr>
              <m:t>y</m:t>
            </m:r>
          </m:e>
          <m:sub>
            <m:r>
              <m:rPr>
                <m:sty m:val="p"/>
              </m:rPr>
              <w:rPr>
                <w:rFonts w:ascii="Cambria Math" w:hAnsi="Cambria Math"/>
                <w:sz w:val="20"/>
              </w:rPr>
              <m:t>D</m:t>
            </m:r>
          </m:sub>
        </m:sSub>
      </m:oMath>
      <w:r>
        <w:rPr>
          <w:rFonts w:ascii="Times New Roman" w:hAnsi="Times New Roman" w:eastAsia="宋体"/>
          <w:sz w:val="18"/>
          <w:szCs w:val="18"/>
        </w:rPr>
        <w:t xml:space="preserve"> 和 </w:t>
      </w:r>
      <m:oMath>
        <m:sSub>
          <m:sSubPr/>
          <m:e>
            <m:r>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18"/>
          <w:szCs w:val="18"/>
        </w:rPr>
        <w:t xml:space="preserve"> 显示位置，虚线圆表示静平台连接点分布圆。</w:t>
      </w:r>
    </w:p>
    <w:p w14:paraId="3B555507">
      <w:pPr>
        <w:pStyle w:val="3"/>
        <w:numPr>
          <w:ilvl w:val="1"/>
          <w:numId w:val="0"/>
        </w:numPr>
        <w:snapToGrid w:val="0"/>
      </w:pPr>
      <w:r>
        <w:rPr>
          <w:rFonts w:ascii="Times New Roman" w:hAnsi="Times New Roman" w:eastAsia="宋体"/>
          <w:sz w:val="20"/>
          <w:szCs w:val="20"/>
        </w:rPr>
        <w:t>C. 实物运动和控制效果</w:t>
      </w:r>
    </w:p>
    <w:p w14:paraId="61959AB9">
      <w:pPr>
        <w:pStyle w:val="7"/>
        <w:numPr>
          <w:ilvl w:val="0"/>
          <w:numId w:val="0"/>
        </w:numPr>
        <w:snapToGrid w:val="0"/>
        <w:rPr>
          <w:sz w:val="20"/>
        </w:rPr>
      </w:pPr>
      <w:r>
        <w:rPr>
          <w:rFonts w:ascii="Times New Roman" w:hAnsi="Times New Roman" w:eastAsia="宋体"/>
          <w:sz w:val="20"/>
          <w:szCs w:val="20"/>
        </w:rPr>
        <w:t>在上述工作空间分析的基础上，进一步开展机械臂位姿调整、Delta 主手遥操作及底盘上台阶演示，从实物运动中考察机械结构与控制流程的执行效果。</w:t>
      </w:r>
    </w:p>
    <w:p w14:paraId="7A137819">
      <w:pPr>
        <w:pStyle w:val="4"/>
        <w:keepNext/>
        <w:keepLines/>
        <w:numPr>
          <w:ilvl w:val="2"/>
          <w:numId w:val="0"/>
        </w:numPr>
        <w:snapToGrid w:val="0"/>
      </w:pPr>
      <w:r>
        <w:rPr>
          <w:rFonts w:ascii="Times New Roman" w:hAnsi="Times New Roman" w:eastAsia="宋体"/>
          <w:sz w:val="20"/>
          <w:szCs w:val="20"/>
        </w:rPr>
        <w:t>1) 机械臂运动空间展示</w:t>
      </w:r>
    </w:p>
    <w:p w14:paraId="0A25E2DD">
      <w:pPr>
        <w:pStyle w:val="7"/>
        <w:numPr>
          <w:ilvl w:val="0"/>
          <w:numId w:val="0"/>
        </w:numPr>
        <w:snapToGrid w:val="0"/>
        <w:rPr>
          <w:sz w:val="20"/>
        </w:rPr>
      </w:pPr>
      <w:r>
        <w:rPr>
          <w:rFonts w:ascii="Times New Roman" w:hAnsi="Times New Roman" w:eastAsia="宋体"/>
          <w:sz w:val="20"/>
          <w:szCs w:val="20"/>
        </w:rPr>
        <w:t xml:space="preserve">Fig. 12 </w:t>
      </w:r>
      <w:r>
        <w:rPr>
          <w:rFonts w:hint="eastAsia"/>
          <w:sz w:val="20"/>
          <w:szCs w:val="20"/>
          <w:lang w:val="en-US" w:eastAsia="zh-CN"/>
        </w:rPr>
        <w:t>展示</w:t>
      </w:r>
      <w:r>
        <w:rPr>
          <w:rFonts w:ascii="Times New Roman" w:hAnsi="Times New Roman" w:eastAsia="宋体"/>
          <w:sz w:val="20"/>
          <w:szCs w:val="20"/>
        </w:rPr>
        <w:t>底盘驻定</w:t>
      </w:r>
      <w:r>
        <w:rPr>
          <w:rFonts w:hint="eastAsia"/>
          <w:sz w:val="20"/>
          <w:szCs w:val="20"/>
          <w:lang w:val="en-US" w:eastAsia="zh-CN"/>
        </w:rPr>
        <w:t>状态下</w:t>
      </w:r>
      <w:r>
        <w:rPr>
          <w:rFonts w:ascii="Times New Roman" w:hAnsi="Times New Roman" w:eastAsia="宋体"/>
          <w:sz w:val="20"/>
          <w:szCs w:val="20"/>
        </w:rPr>
        <w:t>械臂向前伸展、向上抬升和向下探取的三种典型</w:t>
      </w:r>
      <w:r>
        <w:rPr>
          <w:rFonts w:hint="eastAsia"/>
          <w:sz w:val="20"/>
          <w:szCs w:val="20"/>
          <w:lang w:val="en-US" w:eastAsia="zh-CN"/>
        </w:rPr>
        <w:t>姿态</w:t>
      </w:r>
      <w:r>
        <w:rPr>
          <w:rFonts w:ascii="Times New Roman" w:hAnsi="Times New Roman" w:eastAsia="宋体"/>
          <w:sz w:val="20"/>
          <w:szCs w:val="20"/>
        </w:rPr>
        <w:t>。通过肩、肘关节与腕部关节的配合，夹爪可分别朝向机身前方、上方及近地面区域，体现了机械臂在不同高度与方向上的操作能力。上述姿态作为工作空间分析的实物补充，用于展示典型可达构型。</w:t>
      </w:r>
    </w:p>
    <w:p w14:paraId="586E6C15">
      <w:pPr>
        <w:pStyle w:val="4"/>
        <w:keepNext/>
        <w:keepLines/>
        <w:numPr>
          <w:ilvl w:val="2"/>
          <w:numId w:val="0"/>
        </w:numPr>
        <w:snapToGrid w:val="0"/>
      </w:pPr>
      <w:r>
        <w:rPr>
          <w:rFonts w:ascii="Times New Roman" w:hAnsi="Times New Roman" w:eastAsia="宋体"/>
          <w:sz w:val="20"/>
          <w:szCs w:val="20"/>
        </w:rPr>
        <w:t>2) Delta 末端控制器操作效果</w:t>
      </w:r>
    </w:p>
    <w:p w14:paraId="3D02DC8B">
      <w:pPr>
        <w:pStyle w:val="7"/>
        <w:numPr>
          <w:ilvl w:val="0"/>
          <w:numId w:val="0"/>
        </w:numPr>
        <w:snapToGrid w:val="0"/>
        <w:rPr>
          <w:sz w:val="20"/>
        </w:rPr>
      </w:pPr>
      <w:r>
        <w:rPr>
          <w:rFonts w:ascii="Times New Roman" w:hAnsi="Times New Roman" w:eastAsia="宋体"/>
          <w:sz w:val="20"/>
          <w:szCs w:val="20"/>
        </w:rPr>
        <w:t>操作者通过 Delta 动平台输入位置，并利用三轴手柄调整末端姿态，操作效果如 Fig. 13 所示。向前和向右抓取时，夹爪分别从不同方向接近并夹持杯体；斜向上和斜向下操作时，机械臂末端呈现相应的倾斜姿态。图中同时保留主手与机器人端，展示操作者输入和从端动作的对应关系，说明位姿映射与关节控制能够用于实际的末端调整和抓取操作。</w:t>
      </w:r>
    </w:p>
    <w:p w14:paraId="6580EDDD">
      <w:pPr>
        <w:pStyle w:val="4"/>
        <w:keepNext/>
        <w:keepLines/>
        <w:numPr>
          <w:ilvl w:val="2"/>
          <w:numId w:val="0"/>
        </w:numPr>
        <w:snapToGrid w:val="0"/>
      </w:pPr>
      <w:r>
        <w:rPr>
          <w:rFonts w:ascii="Times New Roman" w:hAnsi="Times New Roman" w:eastAsia="宋体"/>
          <w:sz w:val="20"/>
          <w:szCs w:val="20"/>
        </w:rPr>
        <w:t>3) 上台阶过程演示</w:t>
      </w:r>
    </w:p>
    <w:p w14:paraId="26F01402">
      <w:pPr>
        <w:pStyle w:val="7"/>
        <w:numPr>
          <w:ilvl w:val="0"/>
          <w:numId w:val="0"/>
        </w:numPr>
        <w:snapToGrid w:val="0"/>
        <w:rPr>
          <w:sz w:val="20"/>
        </w:rPr>
        <w:sectPr>
          <w:type w:val="continuous"/>
          <w:pgSz w:w="11906" w:h="16838"/>
          <w:pgMar w:top="1080" w:right="907" w:bottom="1440" w:left="907" w:header="720" w:footer="720" w:gutter="0"/>
          <w:cols w:space="360" w:num="2"/>
          <w:docGrid w:linePitch="360" w:charSpace="0"/>
        </w:sectPr>
      </w:pPr>
      <w:r>
        <w:rPr>
          <w:rFonts w:ascii="Times New Roman" w:hAnsi="Times New Roman" w:eastAsia="宋体"/>
          <w:sz w:val="20"/>
          <w:szCs w:val="20"/>
        </w:rPr>
        <w:t>Fig. 14 按时间顺序给出机器人连续通过两级台阶的关键过程。机器人由下方地面接近台阶后，通过腿部构型调整与车轮前进配合，使前、后轮依次转移至第一级踏面；随后继续调整支撑并向前移动，完成第二级台阶的跨越，最终四轮均位于上方平台。过程中机械臂</w:t>
      </w:r>
      <w:r>
        <w:rPr>
          <w:rFonts w:hint="eastAsia"/>
          <w:sz w:val="20"/>
          <w:szCs w:val="20"/>
          <w:lang w:val="en-US" w:eastAsia="zh-CN"/>
        </w:rPr>
        <w:t>在</w:t>
      </w:r>
      <w:r>
        <w:rPr>
          <w:rFonts w:ascii="Times New Roman" w:hAnsi="Times New Roman" w:eastAsia="宋体"/>
          <w:sz w:val="20"/>
          <w:szCs w:val="20"/>
        </w:rPr>
        <w:t>登阶期间</w:t>
      </w:r>
      <w:r>
        <w:rPr>
          <w:rFonts w:hint="eastAsia"/>
          <w:sz w:val="20"/>
          <w:szCs w:val="20"/>
          <w:lang w:val="en-US" w:eastAsia="zh-CN"/>
        </w:rPr>
        <w:t>配合</w:t>
      </w:r>
      <w:r>
        <w:rPr>
          <w:rFonts w:ascii="Times New Roman" w:hAnsi="Times New Roman" w:eastAsia="宋体"/>
          <w:sz w:val="20"/>
          <w:szCs w:val="20"/>
        </w:rPr>
        <w:t>调整姿态</w:t>
      </w:r>
      <w:r>
        <w:rPr>
          <w:rFonts w:hint="eastAsia"/>
          <w:sz w:val="20"/>
          <w:szCs w:val="20"/>
          <w:lang w:eastAsia="zh-CN"/>
        </w:rPr>
        <w:t>，</w:t>
      </w:r>
      <w:r>
        <w:rPr>
          <w:rFonts w:hint="eastAsia"/>
          <w:sz w:val="20"/>
          <w:szCs w:val="20"/>
          <w:lang w:val="en-US" w:eastAsia="zh-CN"/>
        </w:rPr>
        <w:t>以一定程度上调节整机重心</w:t>
      </w:r>
      <w:r>
        <w:rPr>
          <w:rFonts w:ascii="Times New Roman" w:hAnsi="Times New Roman" w:eastAsia="宋体"/>
          <w:sz w:val="20"/>
          <w:szCs w:val="20"/>
        </w:rPr>
        <w:t>。该演示展示了轮式移动与腿部支撑调节相结合的地形通过方式。</w:t>
      </w:r>
    </w:p>
    <w:p w14:paraId="0E65BC1D">
      <w:pPr>
        <w:keepNext/>
        <w:keepLines/>
        <w:numPr>
          <w:ilvl w:val="0"/>
          <w:numId w:val="0"/>
        </w:numPr>
        <w:snapToGrid w:val="0"/>
        <w:spacing w:before="40" w:after="40" w:line="240" w:lineRule="auto"/>
        <w:ind w:left="0" w:right="0" w:firstLine="0"/>
        <w:jc w:val="center"/>
      </w:pPr>
      <w:r>
        <w:drawing>
          <wp:inline distT="0" distB="0" distL="0" distR="0">
            <wp:extent cx="6191885" cy="1738630"/>
            <wp:effectExtent l="0" t="0" r="0" b="0"/>
            <wp:docPr id="38" name="Fig. 12" descr="机械臂运动空间的实物展示。（a）向前伸展。（b）向上抬升。（c）向下探取。三幅图分别给出前向、上方及近地面区域的典型可达构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ig. 12" descr="机械臂运动空间的实物展示。（a）向前伸展。（b）向上抬升。（c）向下探取。三幅图分别给出前向、上方及近地面区域的典型可达构型。"/>
                    <pic:cNvPicPr>
                      <a:picLocks noChangeAspect="1"/>
                    </pic:cNvPicPr>
                  </pic:nvPicPr>
                  <pic:blipFill>
                    <a:blip r:embed="rId20"/>
                    <a:stretch>
                      <a:fillRect/>
                    </a:stretch>
                  </pic:blipFill>
                  <pic:spPr>
                    <a:xfrm>
                      <a:off x="0" y="0"/>
                      <a:ext cx="6192000" cy="1738961"/>
                    </a:xfrm>
                    <a:prstGeom prst="rect">
                      <a:avLst/>
                    </a:prstGeom>
                  </pic:spPr>
                </pic:pic>
              </a:graphicData>
            </a:graphic>
          </wp:inline>
        </w:drawing>
      </w:r>
    </w:p>
    <w:p w14:paraId="2AEFB828">
      <w:pPr>
        <w:pStyle w:val="18"/>
        <w:keepLines/>
        <w:numPr>
          <w:ilvl w:val="0"/>
          <w:numId w:val="0"/>
        </w:numPr>
        <w:snapToGrid w:val="0"/>
        <w:spacing w:before="80" w:after="120"/>
      </w:pPr>
      <w:r>
        <w:rPr>
          <w:rFonts w:ascii="Times New Roman" w:hAnsi="Times New Roman" w:eastAsia="宋体"/>
          <w:sz w:val="18"/>
          <w:szCs w:val="18"/>
        </w:rPr>
        <w:t>Fig. 12. 机械臂运动空间的实物展示。（a）向前伸展。（b）向上抬升。（c）向下探取。三幅图分别给出前向、上方及近地面区域的典型可达构型。</w:t>
      </w:r>
    </w:p>
    <w:p w14:paraId="17727E29">
      <w:pPr>
        <w:keepNext/>
        <w:keepLines/>
        <w:numPr>
          <w:ilvl w:val="0"/>
          <w:numId w:val="0"/>
        </w:numPr>
        <w:snapToGrid w:val="0"/>
        <w:spacing w:before="40" w:after="40" w:line="240" w:lineRule="auto"/>
        <w:ind w:left="0" w:right="0" w:firstLine="0"/>
        <w:jc w:val="center"/>
      </w:pPr>
      <w:r>
        <w:drawing>
          <wp:inline distT="0" distB="0" distL="114300" distR="114300">
            <wp:extent cx="6358255" cy="1292860"/>
            <wp:effectExtent l="0" t="0" r="4445" b="2540"/>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21"/>
                    <a:stretch>
                      <a:fillRect/>
                    </a:stretch>
                  </pic:blipFill>
                  <pic:spPr>
                    <a:xfrm>
                      <a:off x="0" y="0"/>
                      <a:ext cx="6358255" cy="1292860"/>
                    </a:xfrm>
                    <a:prstGeom prst="rect">
                      <a:avLst/>
                    </a:prstGeom>
                    <a:noFill/>
                    <a:ln>
                      <a:noFill/>
                    </a:ln>
                  </pic:spPr>
                </pic:pic>
              </a:graphicData>
            </a:graphic>
          </wp:inline>
        </w:drawing>
      </w:r>
    </w:p>
    <w:p w14:paraId="615FA244">
      <w:pPr>
        <w:pStyle w:val="18"/>
        <w:keepLines/>
        <w:numPr>
          <w:ilvl w:val="0"/>
          <w:numId w:val="0"/>
        </w:numPr>
        <w:snapToGrid w:val="0"/>
        <w:spacing w:before="80" w:after="120"/>
      </w:pPr>
      <w:r>
        <w:rPr>
          <w:rFonts w:ascii="Times New Roman" w:hAnsi="Times New Roman" w:eastAsia="宋体"/>
          <w:sz w:val="18"/>
          <w:szCs w:val="18"/>
        </w:rPr>
        <w:t>Fig. 13. Delta 主手遥操作效果。（a）向前抓取。（b）向右抓取。（c）斜向上姿态调整。（d）斜向下姿态调整。各子图左侧为操作者与主手，右侧为机器人及机械臂。</w:t>
      </w:r>
    </w:p>
    <w:p w14:paraId="727F8354">
      <w:pPr>
        <w:keepNext/>
        <w:keepLines/>
        <w:numPr>
          <w:ilvl w:val="0"/>
          <w:numId w:val="0"/>
        </w:numPr>
        <w:snapToGrid w:val="0"/>
        <w:spacing w:before="40" w:after="40" w:line="240" w:lineRule="auto"/>
        <w:ind w:left="0" w:right="0" w:firstLine="0"/>
        <w:jc w:val="center"/>
      </w:pPr>
      <w:r>
        <w:drawing>
          <wp:inline distT="0" distB="0" distL="0" distR="0">
            <wp:extent cx="6191885" cy="2727325"/>
            <wp:effectExtent l="0" t="0" r="0" b="0"/>
            <wp:docPr id="40" name="Fig. 14" descr="连续上台阶过程。子图按先上后下、每行从左至右排列，标注时间为视频相对时刻。（a）初始接近。（b）—（d）前、后轮依次通过第一级台阶。（e）—（g）继续通过第二级台阶。（h）四轮登上平台，完成通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 14" descr="连续上台阶过程。子图按先上后下、每行从左至右排列，标注时间为视频相对时刻。（a）初始接近。（b）—（d）前、后轮依次通过第一级台阶。（e）—（g）继续通过第二级台阶。（h）四轮登上平台，完成通过。"/>
                    <pic:cNvPicPr>
                      <a:picLocks noChangeAspect="1"/>
                    </pic:cNvPicPr>
                  </pic:nvPicPr>
                  <pic:blipFill>
                    <a:blip r:embed="rId22"/>
                    <a:srcRect t="2828"/>
                    <a:stretch>
                      <a:fillRect/>
                    </a:stretch>
                  </pic:blipFill>
                  <pic:spPr>
                    <a:xfrm>
                      <a:off x="0" y="0"/>
                      <a:ext cx="6192000" cy="2727325"/>
                    </a:xfrm>
                    <a:prstGeom prst="rect">
                      <a:avLst/>
                    </a:prstGeom>
                  </pic:spPr>
                </pic:pic>
              </a:graphicData>
            </a:graphic>
          </wp:inline>
        </w:drawing>
      </w:r>
    </w:p>
    <w:p w14:paraId="5C634BAD">
      <w:pPr>
        <w:pStyle w:val="18"/>
        <w:keepLines/>
        <w:numPr>
          <w:ilvl w:val="0"/>
          <w:numId w:val="0"/>
        </w:numPr>
        <w:snapToGrid w:val="0"/>
        <w:spacing w:before="80" w:after="120"/>
        <w:sectPr>
          <w:pgSz w:w="11906" w:h="16838"/>
          <w:pgMar w:top="1080" w:right="907" w:bottom="1440" w:left="907" w:header="720" w:footer="720" w:gutter="0"/>
          <w:cols w:space="360" w:num="1"/>
          <w:docGrid w:linePitch="360" w:charSpace="0"/>
        </w:sectPr>
      </w:pPr>
      <w:r>
        <w:rPr>
          <w:rFonts w:ascii="Times New Roman" w:hAnsi="Times New Roman" w:eastAsia="宋体"/>
          <w:sz w:val="18"/>
          <w:szCs w:val="18"/>
        </w:rPr>
        <w:t>Fig. 14. 连续上台阶过程。子图按先上后下、每行从左至右排列，标注时间为视频相对时刻。（a）初始接近。（b）—（d）前、后轮依次通过第一级台阶。（e）—（g）继续通过第二级台阶。（h）四轮登上平台，完成通过。</w:t>
      </w:r>
    </w:p>
    <w:p w14:paraId="3A278C2B">
      <w:pPr>
        <w:pStyle w:val="2"/>
        <w:numPr>
          <w:ilvl w:val="0"/>
          <w:numId w:val="0"/>
        </w:numPr>
        <w:snapToGrid w:val="0"/>
      </w:pPr>
      <w:bookmarkStart w:id="15" w:name="v.-结论conclusion"/>
      <w:r>
        <w:t>IV. 结论</w:t>
      </w:r>
      <w:r>
        <w:rPr>
          <w:rFonts w:hint="eastAsia"/>
        </w:rPr>
        <w:t>（Conclusion）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提出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rFonts w:hint="default" w:eastAsia="宋体"/>
          <w:sz w:val="20"/>
          <w:highlight w:val="yellow"/>
          <w:lang w:val="en-US" w:eastAsia="zh-CN"/>
        </w:rPr>
      </w:pPr>
      <w:r>
        <w:rPr>
          <w:rFonts w:hint="eastAsia"/>
          <w:sz w:val="20"/>
          <w:szCs w:val="20"/>
        </w:rPr>
        <w:t>本文形成了底盘移动与姿态控制、机械臂逆运动学及主从位姿映射相结合的控制流程。几何工作空间分析进一步给出了夹爪中心与主手动平台的位置覆盖范围，为结构参数选取及位姿映射提供了依据。</w:t>
      </w:r>
      <w:r>
        <w:rPr>
          <w:rFonts w:hint="eastAsia"/>
          <w:color w:val="FF0000"/>
          <w:sz w:val="20"/>
          <w:szCs w:val="20"/>
          <w:lang w:val="en-US" w:eastAsia="zh-CN"/>
        </w:rPr>
        <w:t>实物演示则验证了机器人系统的地形跨越能力和遥操作完整执行能力。</w:t>
      </w:r>
    </w:p>
    <w:bookmarkEnd w:id="15"/>
    <w:p w14:paraId="7FEF48C1">
      <w:pPr>
        <w:pStyle w:val="6"/>
        <w:keepNext/>
        <w:numPr>
          <w:ilvl w:val="0"/>
          <w:numId w:val="0"/>
        </w:numPr>
        <w:snapToGrid w:val="0"/>
      </w:pPr>
      <w:bookmarkStart w:id="16" w:name="致谢acknowledgment"/>
      <w:r>
        <w:rPr>
          <w:rFonts w:hint="eastAsia"/>
        </w:rPr>
        <w:t>致谢（Acknowledgment）</w:t>
      </w:r>
    </w:p>
    <w:p w14:paraId="415C08CB">
      <w:pPr>
        <w:pStyle w:val="7"/>
        <w:numPr>
          <w:ilvl w:val="0"/>
          <w:numId w:val="0"/>
        </w:numPr>
        <w:snapToGrid w:val="0"/>
        <w:rPr>
          <w:sz w:val="20"/>
        </w:rPr>
      </w:pPr>
    </w:p>
    <w:bookmarkEnd w:id="0"/>
    <w:bookmarkEnd w:id="16"/>
    <w:p w14:paraId="3541C2C4">
      <w:pPr>
        <w:pStyle w:val="6"/>
        <w:keepNext/>
        <w:numPr>
          <w:ilvl w:val="0"/>
          <w:numId w:val="0"/>
        </w:numPr>
        <w:snapToGrid w:val="0"/>
      </w:pPr>
      <w:r>
        <w:rPr>
          <w:rFonts w:hint="eastAsia"/>
        </w:rPr>
        <w:t>参考文献（References）</w:t>
      </w:r>
    </w:p>
    <w:p w14:paraId="2DE913E6">
      <w:pPr>
        <w:pStyle w:val="22"/>
        <w:keepLines/>
        <w:snapToGrid w:val="0"/>
        <w:ind w:left="354" w:hanging="354"/>
      </w:pPr>
      <w:r>
        <w:t>T. Klamt et al., “Remote mobile manipulation with the centauro robot: Full-body telepresence and autonomous operator assistance,” J. Field Robot., vol. 37, no. 5, pp. 889–919, 2020, doi: 10.1002/rob.21895.</w:t>
      </w:r>
    </w:p>
    <w:p w14:paraId="4D14F4CE">
      <w:pPr>
        <w:pStyle w:val="22"/>
        <w:keepLines/>
        <w:snapToGrid w:val="0"/>
        <w:ind w:left="354" w:hanging="354"/>
      </w:pPr>
      <w:r>
        <w:t>M. Bjelonic et al., “Keep rollin’—Whole-body motion control and planning for wheeled quadrupedal robots,” IEEE Robot. Autom. Lett., vol. 4, no. 2, pp. 2116–2123, 2019, doi: 10.1109/LRA.2019.2899750.</w:t>
      </w:r>
    </w:p>
    <w:p w14:paraId="35C2484A">
      <w:pPr>
        <w:pStyle w:val="22"/>
        <w:keepLines/>
        <w:snapToGrid w:val="0"/>
        <w:ind w:left="354" w:hanging="354"/>
      </w:pPr>
      <w:r>
        <w:t>M. Bjelonic, R. Grandia, O. Harley, C. Galliard, S. Zimmermann, and M. Hutter, “Whole-body MPC and online gait sequence generation for wheeled-legged robots,” in Proc. IEEE/RSJ Int. Conf. Intell. Robots Syst. (IROS), 2021, pp. 8388–8395, doi: 10.1109/IROS51168.2021.9636371.</w:t>
      </w:r>
    </w:p>
    <w:p w14:paraId="3E290545">
      <w:pPr>
        <w:pStyle w:val="22"/>
        <w:keepLines/>
        <w:snapToGrid w:val="0"/>
        <w:ind w:left="354" w:hanging="354"/>
      </w:pPr>
      <w:r>
        <w:t>F. Iotti, A. Ranjan, F. Angelini, and M. Garabini, “OmniQuad: A wheeled-legged hybrid robot with omnidirectional wheels,” Mech. Mach. Theory, vol. 214, Art. no. 106125, 2025, doi: 10.1016/j.mechmachtheory.2025.106125.</w:t>
      </w:r>
    </w:p>
    <w:p w14:paraId="751A2607">
      <w:pPr>
        <w:pStyle w:val="22"/>
        <w:keepLines/>
        <w:snapToGrid w:val="0"/>
        <w:ind w:left="354" w:hanging="354"/>
      </w:pPr>
      <w:r>
        <w:t>Z. Wang et al., “Arm-constrained curriculum learning for loco-manipulation of a wheel-legged robot,” in Proc. IEEE/RSJ Int. Conf. Intell. Robots Syst. (IROS), 2024, pp. 10770–10776, doi: 10.1109/IROS58592.2024.10802062.</w:t>
      </w:r>
    </w:p>
    <w:p w14:paraId="6FBB0C4F">
      <w:pPr>
        <w:pStyle w:val="22"/>
        <w:keepLines/>
        <w:snapToGrid w:val="0"/>
        <w:ind w:left="354" w:hanging="354"/>
      </w:pPr>
      <w:r>
        <w:t>R. Zhang, H. Du, P. Qiu, Y. Yang, and W. Song, “Motion control of a hybrid self-reconfigurable wheel-legged dual-arm robot,” in Proc. IEEE/RSJ Int. Conf. Intell. Robots Syst. (IROS), 2025, pp. 16483–16488, doi: 10.1109/IROS60139.2025.11246212.</w:t>
      </w:r>
    </w:p>
    <w:p w14:paraId="40B68303">
      <w:pPr>
        <w:pStyle w:val="22"/>
        <w:keepLines/>
        <w:snapToGrid w:val="0"/>
        <w:ind w:left="354" w:hanging="354"/>
      </w:pPr>
      <w:r>
        <w:t>Z. Chen, S. Li, B. Liu, M. Li, Z. Yin, and Y. Li, “Whole-body motion control of an omnidirectional wheel-legged mobile manipulator via contact-aware dynamic optimization,” 2025, arXiv:2509.14010. [Online]. Available: https://arxiv.org/abs/2509.14010</w:t>
      </w:r>
    </w:p>
    <w:p w14:paraId="02CE285A">
      <w:pPr>
        <w:pStyle w:val="22"/>
        <w:keepLines/>
        <w:snapToGrid w:val="0"/>
        <w:ind w:left="354" w:hanging="354"/>
      </w:pPr>
      <w:r>
        <w:t>C. Cruz Ulloa, D. Domínguez, A. Barrientos, and J. del Cerro, “Design and mixed-reality teleoperation of a quadruped-manipulator robot for SAR tasks,” in Robotics in Natural Settings, ser. Lecture Notes in Networks and Systems, vol. 530. Cham, Switzerland: Springer, 2023, pp. 181–194, doi: 10.1007/978-3-031-15226-9_19.</w:t>
      </w:r>
    </w:p>
    <w:p w14:paraId="346451C9">
      <w:pPr>
        <w:pStyle w:val="22"/>
        <w:keepLines/>
        <w:snapToGrid w:val="0"/>
        <w:ind w:left="354" w:hanging="354"/>
      </w:pPr>
      <w:r>
        <w:t>M. Uchiyama, Y. Tsumaki, and W.-K. Yoon, “Design of a compact 6-DOF haptic device to use parallel mechanisms,” in Robotics Research, ser. Springer Tracts in Advanced Robotics, vol. 28. Berlin, Germany: Springer, 2007, pp. 145–162, doi: 10.1007/978-3-540-48113-3_14.</w:t>
      </w:r>
    </w:p>
    <w:p w14:paraId="30A7AE90">
      <w:pPr>
        <w:pStyle w:val="22"/>
        <w:keepLines/>
        <w:snapToGrid w:val="0"/>
        <w:ind w:left="354" w:hanging="354"/>
      </w:pPr>
      <w:r>
        <w:t>A. Tobergte et al., “The sigma.7 haptic interface for MiroSurge: A new bi-manual surgical console,” in Proc. IEEE/RSJ Int. Conf. Intell. Robots Syst. (IROS), 2011, pp. 3023–3030, doi: 10.1109/IROS.2011.6048043.</w:t>
      </w:r>
    </w:p>
    <w:p w14:paraId="7B130011">
      <w:pPr>
        <w:pStyle w:val="22"/>
        <w:keepLines/>
        <w:snapToGrid w:val="0"/>
        <w:ind w:left="354" w:hanging="354"/>
      </w:pPr>
      <w:r>
        <w:t>D. L. Pieper, “The kinematics of manipulators under computer control,” Ph.D. dissertation, Stanford Univ., Stanford, CA, USA, 1968.</w:t>
      </w:r>
    </w:p>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pPr>
        <w:rPr>
          <w:rFonts w:hint="default"/>
        </w:rPr>
      </w:pPr>
      <w:r>
        <w:rPr>
          <w:rFonts w:hint="default"/>
        </w:rPr>
        <w:t>+</w:t>
      </w:r>
    </w:p>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Luce">
    <w:altName w:val="Gubbi"/>
    <w:panose1 w:val="00000400000000000000"/>
    <w:charset w:val="00"/>
    <w:family w:val="auto"/>
    <w:pitch w:val="default"/>
    <w:sig w:usb0="00000000" w:usb1="00000000" w:usb2="00000000" w:usb3="00000000" w:csb0="00000001" w:csb1="00000000"/>
  </w:font>
  <w:font w:name="Gubbi">
    <w:panose1 w:val="00000400000000000000"/>
    <w:charset w:val="00"/>
    <w:family w:val="auto"/>
    <w:pitch w:val="default"/>
    <w:sig w:usb0="004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NotTrackMoves/>
  <w:documentProtection w:enforcement="0"/>
  <w:defaultTabStop w:val="720"/>
  <w:doNotHyphenateCaps/>
  <w:drawingGridHorizontalSpacing w:val="360"/>
  <w:drawingGridVerticalSpacing w:val="360"/>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1F4D0A"/>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011267DB"/>
    <w:rsid w:val="019849A8"/>
    <w:rsid w:val="01A35F8B"/>
    <w:rsid w:val="01E738C7"/>
    <w:rsid w:val="04722DC8"/>
    <w:rsid w:val="05253A9F"/>
    <w:rsid w:val="05362D36"/>
    <w:rsid w:val="05EB23CD"/>
    <w:rsid w:val="062474FC"/>
    <w:rsid w:val="067D77AC"/>
    <w:rsid w:val="06A83220"/>
    <w:rsid w:val="06D516E8"/>
    <w:rsid w:val="0712113E"/>
    <w:rsid w:val="077E14C0"/>
    <w:rsid w:val="07D93108"/>
    <w:rsid w:val="08CA6B0B"/>
    <w:rsid w:val="08F63846"/>
    <w:rsid w:val="096577F6"/>
    <w:rsid w:val="09B931D6"/>
    <w:rsid w:val="0A3F5CA9"/>
    <w:rsid w:val="0B41349E"/>
    <w:rsid w:val="0D3F64F1"/>
    <w:rsid w:val="0D9C2C0E"/>
    <w:rsid w:val="0E0802A4"/>
    <w:rsid w:val="0E73251E"/>
    <w:rsid w:val="0EED1247"/>
    <w:rsid w:val="0F5F6850"/>
    <w:rsid w:val="10914580"/>
    <w:rsid w:val="109551B8"/>
    <w:rsid w:val="11FD6167"/>
    <w:rsid w:val="121B57EB"/>
    <w:rsid w:val="13FD7798"/>
    <w:rsid w:val="146E50FA"/>
    <w:rsid w:val="147958FA"/>
    <w:rsid w:val="14961A2A"/>
    <w:rsid w:val="15536982"/>
    <w:rsid w:val="15B381E1"/>
    <w:rsid w:val="16125842"/>
    <w:rsid w:val="16F86BD3"/>
    <w:rsid w:val="1731763D"/>
    <w:rsid w:val="17720E98"/>
    <w:rsid w:val="18D41433"/>
    <w:rsid w:val="19E44366"/>
    <w:rsid w:val="19F53BDA"/>
    <w:rsid w:val="1AFF2903"/>
    <w:rsid w:val="1B1D4C62"/>
    <w:rsid w:val="1B210BF7"/>
    <w:rsid w:val="1B634C1A"/>
    <w:rsid w:val="1BA0493F"/>
    <w:rsid w:val="1BB71F11"/>
    <w:rsid w:val="1BCA0375"/>
    <w:rsid w:val="1CC61995"/>
    <w:rsid w:val="1DFE0D7B"/>
    <w:rsid w:val="1F72557D"/>
    <w:rsid w:val="1FBB607B"/>
    <w:rsid w:val="1FE3647B"/>
    <w:rsid w:val="1FEB3B7D"/>
    <w:rsid w:val="21ED538F"/>
    <w:rsid w:val="22C06271"/>
    <w:rsid w:val="232D622D"/>
    <w:rsid w:val="23AC3027"/>
    <w:rsid w:val="241C01AD"/>
    <w:rsid w:val="24F42ED8"/>
    <w:rsid w:val="25AF090F"/>
    <w:rsid w:val="260C13C9"/>
    <w:rsid w:val="26D631BF"/>
    <w:rsid w:val="26D8520E"/>
    <w:rsid w:val="274301E8"/>
    <w:rsid w:val="27A054EB"/>
    <w:rsid w:val="27B5694E"/>
    <w:rsid w:val="27F51441"/>
    <w:rsid w:val="28035DDB"/>
    <w:rsid w:val="292024ED"/>
    <w:rsid w:val="29406095"/>
    <w:rsid w:val="29C25891"/>
    <w:rsid w:val="2A652AAA"/>
    <w:rsid w:val="2BA56E96"/>
    <w:rsid w:val="2C1A1476"/>
    <w:rsid w:val="2C713B2E"/>
    <w:rsid w:val="2C924D9F"/>
    <w:rsid w:val="2D6811D2"/>
    <w:rsid w:val="2D7C0A9C"/>
    <w:rsid w:val="2E277E7A"/>
    <w:rsid w:val="2E54278D"/>
    <w:rsid w:val="2EB725E6"/>
    <w:rsid w:val="2FA7475E"/>
    <w:rsid w:val="2FBF5FC8"/>
    <w:rsid w:val="309733E0"/>
    <w:rsid w:val="31012C04"/>
    <w:rsid w:val="320F4EAD"/>
    <w:rsid w:val="326500FD"/>
    <w:rsid w:val="32AE1A99"/>
    <w:rsid w:val="32B6731B"/>
    <w:rsid w:val="331F4190"/>
    <w:rsid w:val="336E52A3"/>
    <w:rsid w:val="35172508"/>
    <w:rsid w:val="35910C57"/>
    <w:rsid w:val="36174C1A"/>
    <w:rsid w:val="36413BC1"/>
    <w:rsid w:val="367D3DB6"/>
    <w:rsid w:val="369E0A48"/>
    <w:rsid w:val="36A74F98"/>
    <w:rsid w:val="36E91A9B"/>
    <w:rsid w:val="36FE37EA"/>
    <w:rsid w:val="37410393"/>
    <w:rsid w:val="378A4261"/>
    <w:rsid w:val="37A26CC4"/>
    <w:rsid w:val="384E5D87"/>
    <w:rsid w:val="386A108F"/>
    <w:rsid w:val="387D23D2"/>
    <w:rsid w:val="38990E1F"/>
    <w:rsid w:val="38C56C0D"/>
    <w:rsid w:val="38E057F5"/>
    <w:rsid w:val="39CF7FB4"/>
    <w:rsid w:val="3A235B6D"/>
    <w:rsid w:val="3A336BFE"/>
    <w:rsid w:val="3A6A6623"/>
    <w:rsid w:val="3B5732CF"/>
    <w:rsid w:val="3BE22386"/>
    <w:rsid w:val="3BEE647B"/>
    <w:rsid w:val="3BF57A78"/>
    <w:rsid w:val="3C2C089E"/>
    <w:rsid w:val="3C2F4ACA"/>
    <w:rsid w:val="3C6B56B0"/>
    <w:rsid w:val="3C814BF9"/>
    <w:rsid w:val="3DCB6A74"/>
    <w:rsid w:val="3E500D27"/>
    <w:rsid w:val="3EB42D77"/>
    <w:rsid w:val="3EED2916"/>
    <w:rsid w:val="3FB56340"/>
    <w:rsid w:val="40491ED2"/>
    <w:rsid w:val="40925627"/>
    <w:rsid w:val="41656898"/>
    <w:rsid w:val="41A82C28"/>
    <w:rsid w:val="41C46440"/>
    <w:rsid w:val="420903DC"/>
    <w:rsid w:val="425A271D"/>
    <w:rsid w:val="42A15FF5"/>
    <w:rsid w:val="43702AB3"/>
    <w:rsid w:val="43726BC2"/>
    <w:rsid w:val="43751C95"/>
    <w:rsid w:val="450E5498"/>
    <w:rsid w:val="45513D03"/>
    <w:rsid w:val="45521829"/>
    <w:rsid w:val="45950732"/>
    <w:rsid w:val="45E723EE"/>
    <w:rsid w:val="46F87ED9"/>
    <w:rsid w:val="471072A6"/>
    <w:rsid w:val="472D3883"/>
    <w:rsid w:val="478B6A7D"/>
    <w:rsid w:val="478E495D"/>
    <w:rsid w:val="47C167F2"/>
    <w:rsid w:val="47D2657C"/>
    <w:rsid w:val="47FBC7DB"/>
    <w:rsid w:val="48325502"/>
    <w:rsid w:val="486C2C02"/>
    <w:rsid w:val="48D42422"/>
    <w:rsid w:val="49535B70"/>
    <w:rsid w:val="49FB423D"/>
    <w:rsid w:val="4A031344"/>
    <w:rsid w:val="4A377EBE"/>
    <w:rsid w:val="4A4A6F73"/>
    <w:rsid w:val="4A7C3A57"/>
    <w:rsid w:val="4AF0020B"/>
    <w:rsid w:val="4AF313B8"/>
    <w:rsid w:val="4B2B0B52"/>
    <w:rsid w:val="4B2F1727"/>
    <w:rsid w:val="4BCD4342"/>
    <w:rsid w:val="4BD72A88"/>
    <w:rsid w:val="4C177328"/>
    <w:rsid w:val="4D115B26"/>
    <w:rsid w:val="4D56721B"/>
    <w:rsid w:val="4F0816E5"/>
    <w:rsid w:val="4F7227E0"/>
    <w:rsid w:val="504C0121"/>
    <w:rsid w:val="50600295"/>
    <w:rsid w:val="515F043C"/>
    <w:rsid w:val="516905C1"/>
    <w:rsid w:val="51CE13A2"/>
    <w:rsid w:val="52053576"/>
    <w:rsid w:val="527C1C93"/>
    <w:rsid w:val="529D2F49"/>
    <w:rsid w:val="52C97739"/>
    <w:rsid w:val="52DD33FA"/>
    <w:rsid w:val="53511372"/>
    <w:rsid w:val="53ED2302"/>
    <w:rsid w:val="53F7B579"/>
    <w:rsid w:val="543021C7"/>
    <w:rsid w:val="55EC1B56"/>
    <w:rsid w:val="561769D4"/>
    <w:rsid w:val="563A1C5C"/>
    <w:rsid w:val="569D5512"/>
    <w:rsid w:val="56BE58EF"/>
    <w:rsid w:val="56BF6D23"/>
    <w:rsid w:val="57810A1C"/>
    <w:rsid w:val="579161E1"/>
    <w:rsid w:val="583354EA"/>
    <w:rsid w:val="58CD5A9A"/>
    <w:rsid w:val="59000207"/>
    <w:rsid w:val="59B60FF6"/>
    <w:rsid w:val="5A4412E8"/>
    <w:rsid w:val="5A7A5745"/>
    <w:rsid w:val="5B2E4D4E"/>
    <w:rsid w:val="5BA261E3"/>
    <w:rsid w:val="5C785C47"/>
    <w:rsid w:val="5D3214B0"/>
    <w:rsid w:val="5D437F7D"/>
    <w:rsid w:val="5E0C0D49"/>
    <w:rsid w:val="5E71553F"/>
    <w:rsid w:val="5EE055E8"/>
    <w:rsid w:val="5F93061C"/>
    <w:rsid w:val="5FA40A7B"/>
    <w:rsid w:val="60015AB8"/>
    <w:rsid w:val="60044C25"/>
    <w:rsid w:val="6056127E"/>
    <w:rsid w:val="60BC2157"/>
    <w:rsid w:val="60F77E46"/>
    <w:rsid w:val="61FC06FB"/>
    <w:rsid w:val="627961EF"/>
    <w:rsid w:val="62D0361C"/>
    <w:rsid w:val="62F24963"/>
    <w:rsid w:val="63E5654B"/>
    <w:rsid w:val="63F43C78"/>
    <w:rsid w:val="64030466"/>
    <w:rsid w:val="64943FCC"/>
    <w:rsid w:val="650C6EA7"/>
    <w:rsid w:val="650D2C1F"/>
    <w:rsid w:val="65856FDD"/>
    <w:rsid w:val="66056FB3"/>
    <w:rsid w:val="66197E7F"/>
    <w:rsid w:val="6694184A"/>
    <w:rsid w:val="670B1D28"/>
    <w:rsid w:val="67470D48"/>
    <w:rsid w:val="677EF307"/>
    <w:rsid w:val="6807678E"/>
    <w:rsid w:val="68BE7F21"/>
    <w:rsid w:val="69496146"/>
    <w:rsid w:val="69FD31CD"/>
    <w:rsid w:val="6B191C03"/>
    <w:rsid w:val="6B4E24B7"/>
    <w:rsid w:val="6B712CDD"/>
    <w:rsid w:val="6BFF494D"/>
    <w:rsid w:val="6CD6760D"/>
    <w:rsid w:val="6D4FA37E"/>
    <w:rsid w:val="6D7500E7"/>
    <w:rsid w:val="6DBC51E2"/>
    <w:rsid w:val="6DF53C57"/>
    <w:rsid w:val="6E271993"/>
    <w:rsid w:val="6E6040A3"/>
    <w:rsid w:val="6E8B2C58"/>
    <w:rsid w:val="6EB02F99"/>
    <w:rsid w:val="6EB512A0"/>
    <w:rsid w:val="6EFF9550"/>
    <w:rsid w:val="6F190B3E"/>
    <w:rsid w:val="6F330183"/>
    <w:rsid w:val="6FFD60F7"/>
    <w:rsid w:val="70E35E7A"/>
    <w:rsid w:val="710D4C5E"/>
    <w:rsid w:val="716D4612"/>
    <w:rsid w:val="71D16BD8"/>
    <w:rsid w:val="721E646B"/>
    <w:rsid w:val="7238067D"/>
    <w:rsid w:val="730E7BAE"/>
    <w:rsid w:val="7337799B"/>
    <w:rsid w:val="73D14A40"/>
    <w:rsid w:val="74244DD1"/>
    <w:rsid w:val="75D62912"/>
    <w:rsid w:val="76286D4A"/>
    <w:rsid w:val="769E4C2D"/>
    <w:rsid w:val="777B5E17"/>
    <w:rsid w:val="78113BDD"/>
    <w:rsid w:val="7866572F"/>
    <w:rsid w:val="78F20C53"/>
    <w:rsid w:val="7A460A2C"/>
    <w:rsid w:val="7A6D2D01"/>
    <w:rsid w:val="7B010C26"/>
    <w:rsid w:val="7B660D60"/>
    <w:rsid w:val="7BAD43ED"/>
    <w:rsid w:val="7BAF6CF2"/>
    <w:rsid w:val="7BCF3E99"/>
    <w:rsid w:val="7C093CE8"/>
    <w:rsid w:val="7CFFB4DD"/>
    <w:rsid w:val="7D493536"/>
    <w:rsid w:val="7D4B1E05"/>
    <w:rsid w:val="7D7BC468"/>
    <w:rsid w:val="7DB3EA36"/>
    <w:rsid w:val="7DB9D918"/>
    <w:rsid w:val="7DDBEB2D"/>
    <w:rsid w:val="7E03663C"/>
    <w:rsid w:val="7E1D20AD"/>
    <w:rsid w:val="7E7E08A7"/>
    <w:rsid w:val="7EA5419C"/>
    <w:rsid w:val="7F1475AA"/>
    <w:rsid w:val="7F5F94B6"/>
    <w:rsid w:val="7F7C0272"/>
    <w:rsid w:val="7FC8211E"/>
    <w:rsid w:val="7FF37189"/>
    <w:rsid w:val="7FFB82DC"/>
    <w:rsid w:val="7FFD2014"/>
    <w:rsid w:val="7FFE82C9"/>
    <w:rsid w:val="97D6FE95"/>
    <w:rsid w:val="9DEDD3B3"/>
    <w:rsid w:val="9FEEC92C"/>
    <w:rsid w:val="AD7BF3F0"/>
    <w:rsid w:val="B31DD456"/>
    <w:rsid w:val="BB7B8C1E"/>
    <w:rsid w:val="BBFFEEA7"/>
    <w:rsid w:val="C7EFD916"/>
    <w:rsid w:val="D1E9525F"/>
    <w:rsid w:val="DBFFB575"/>
    <w:rsid w:val="DE3FEC34"/>
    <w:rsid w:val="E7EDD1E5"/>
    <w:rsid w:val="EB3D77CB"/>
    <w:rsid w:val="F6FFE050"/>
    <w:rsid w:val="F7FB23B8"/>
    <w:rsid w:val="FB9FCC72"/>
    <w:rsid w:val="FD7FBAF7"/>
    <w:rsid w:val="FFAEC6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宋体"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宋体"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宋体"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宋体"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宋体"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宋体"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Luce"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Luce"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Luce"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宋体"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宋体"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宋体"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宋体"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9.jpeg"/><Relationship Id="rId21" Type="http://schemas.openxmlformats.org/officeDocument/2006/relationships/image" Target="media/image18.pn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12</Pages>
  <Words>4947</Words>
  <Characters>5658</Characters>
  <Lines>102</Lines>
  <Paragraphs>28</Paragraphs>
  <TotalTime>5</TotalTime>
  <ScaleCrop>false</ScaleCrop>
  <LinksUpToDate>false</LinksUpToDate>
  <CharactersWithSpaces>5826</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2026-10-10T02:20:00Z</dcterms:created>
  <dc:creator>赵苏亚</dc:creator>
  <cp:lastModifiedBy>赵苏亚</cp:lastModifiedBy>
  <dcterms:modified xsi:type="dcterms:W3CDTF">2026-10-13T21:56:13Z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FB6A9829F9E04273BF6A687910BCBE86_13</vt:lpwstr>
  </property>
  <property fmtid="{D5CDD505-2E9C-101B-9397-08002B2CF9AE}" pid="4" name="KSOTemplateDocerSaveRecord">
    <vt:lpwstr>eyJoZGlkIjoiZDg5MjkwNTdmMmUzNjc3Yzk0NTc0YzM2NjI3NjczNjAiLCJ1c2VySWQiOiIxNjQ5ODQ1NTc3In0=</vt:lpwstr>
  </property>
</Properties>
</file>