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bookmarkStart w:id="44" w:name="麦克纳姆轮四足移动机械臂的轻量化设计与基于-delta-机构的异构遥操作控制"/>
    <w:p>
      <w:pPr>
        <w:pStyle w:val="21"/>
        <w:snapToGrid w:val="0"/>
        <w:numPr>
          <w:numId w:val="0"/>
        </w:numPr>
      </w:pPr>
      <w:r>
        <w:rPr>
          <w:rFonts w:hint="eastAsia"/>
        </w:rPr>
        <w:t xml:space="preserve">麦克纳姆轮四足移动机械臂的轻量化设计与基于</w:t>
      </w:r>
      <w:r>
        <w:t xml:space="preserve"> Delta </w:t>
      </w:r>
      <w:r>
        <w:rPr>
          <w:rFonts w:hint="eastAsia"/>
        </w:rPr>
        <w:t xml:space="preserve">机构的异构遥操作控制</w:t>
      </w:r>
    </w:p>
    <w:p>
      <w:pPr>
        <w:pStyle w:val="14"/>
        <w:snapToGrid w:val="0"/>
        <w:numPr>
          <w:numId w:val="0"/>
        </w:numPr>
        <w:sectPr>
          <w:pgSz w:w="11906" w:h="16838"/>
          <w:pgMar w:top="540" w:right="893" w:bottom="1440" w:left="893" w:header="720" w:footer="720" w:gutter="0"/>
          <w:cols w:space="720" w:num="1"/>
          <w:docGrid w:linePitch="360" w:charSpace="0"/>
        </w:sectPr>
      </w:pPr>
      <w:r>
        <w:rPr>
          <w:rFonts w:hint="eastAsia"/>
        </w:rPr>
        <w:t xml:space="preserve">作者、单位及通信邮箱：待作者确认。</w:t>
      </w:r>
    </w:p>
    <w:bookmarkStart w:id="12" w:name="摘要abstract"/>
    <w:p>
      <w:pPr>
        <w:pStyle w:val="12"/>
        <w:snapToGrid w:val="0"/>
        <w:numPr>
          <w:numId w:val="0"/>
        </w:numPr>
      </w:pPr>
      <w:r>
        <w:t>摘要（Abstract）—</w:t>
      </w:r>
      <w:r>
        <w:rPr>
          <w:rFonts w:hint="eastAsia"/>
        </w:rPr>
        <w:t xml:space="preserve">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 xml:space="preserve">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pPr>
        <w:pStyle w:val="29"/>
        <w:snapToGrid w:val="0"/>
        <w:numPr>
          <w:numId w:val="0"/>
        </w:numPr>
      </w:pPr>
      <w:r>
        <w:rPr>
          <w:rFonts w:hint="eastAsia"/>
          <w:b/>
          <w:bCs/>
        </w:rPr>
        <w:t xml:space="preserve">关键词（Keywords）</w:t>
      </w:r>
      <w:r>
        <w:rPr>
          <w:rFonts w:hint="eastAsia"/>
        </w:rPr>
        <w:t xml:space="preserve">：轮足机器人，麦克纳姆轮，移动操作，轻量化设计，力矩前馈，异构遥操作。</w:t>
      </w:r>
    </w:p>
    <w:bookmarkEnd w:id="12"/>
    <w:bookmarkStart w:id="13" w:name="i.-引言introduction"/>
    <w:p>
      <w:pPr>
        <w:pStyle w:val="2"/>
        <w:snapToGrid w:val="0"/>
        <w:numPr>
          <w:numId w:val="0"/>
        </w:numPr>
      </w:pPr>
      <w:r>
        <w:t xml:space="preserve">I. </w:t>
      </w:r>
      <w:r>
        <w:rPr>
          <w:rFonts w:hint="eastAsia"/>
        </w:rPr>
        <w:t xml:space="preserve">引言（Introduction）</w:t>
      </w:r>
    </w:p>
    <w:p>
      <w:pPr>
        <w:pStyle w:val="7"/>
        <w:snapToGrid w:val="0"/>
        <w:numPr>
          <w:numId w:val="0"/>
        </w:numPr>
        <w:rPr>
          <w:sz w:val="20"/>
        </w:rPr>
      </w:pPr>
      <w:r>
        <w:rPr>
          <w:rFonts w:hint="eastAsia"/>
          <w:sz w:val="20"/>
          <w:szCs w:val="20"/>
        </w:rPr>
        <w:t xml:space="preserve">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pPr>
        <w:pStyle w:val="7"/>
        <w:snapToGrid w:val="0"/>
        <w:numPr>
          <w:numId w:val="0"/>
        </w:numPr>
        <w:rPr>
          <w:sz w:val="20"/>
        </w:rPr>
      </w:pPr>
      <w:r>
        <w:rPr>
          <w:rFonts w:hint="eastAsia"/>
          <w:sz w:val="20"/>
          <w:szCs w:val="20"/>
        </w:rPr>
        <w:t xml:space="preserve">已有轮足移动操作研究分别从学习控制、机构重构和人机交互等方向开展探索。Wang</w:t>
      </w:r>
      <w:r>
        <w:rPr>
          <w:sz w:val="20"/>
          <w:szCs w:val="20"/>
        </w:rPr>
        <w:t xml:space="preserve"> </w:t>
      </w:r>
      <w:r>
        <w:rPr>
          <w:rFonts w:hint="eastAsia"/>
          <w:sz w:val="20"/>
          <w:szCs w:val="20"/>
        </w:rPr>
        <w:t xml:space="preserve">等利用带机械臂约束的课程学习实现轮足机器人的移动操作</w:t>
      </w:r>
      <w:r>
        <w:rPr>
          <w:sz w:val="20"/>
          <w:szCs w:val="20"/>
        </w:rPr>
        <w:t xml:space="preserve"> </w:t>
      </w:r>
      <w:r>
        <w:rPr>
          <w:rFonts w:hint="eastAsia"/>
          <w:sz w:val="20"/>
          <w:szCs w:val="20"/>
        </w:rPr>
        <w:t xml:space="preserve">[1]；Zhang</w:t>
      </w:r>
      <w:r>
        <w:rPr>
          <w:sz w:val="20"/>
          <w:szCs w:val="20"/>
        </w:rPr>
        <w:t xml:space="preserve"> </w:t>
      </w:r>
      <w:r>
        <w:rPr>
          <w:rFonts w:hint="eastAsia"/>
          <w:sz w:val="20"/>
          <w:szCs w:val="20"/>
        </w:rPr>
        <w:t xml:space="preserve">等通过主动对接机构和模块化控制实现轮足双臂机器人的构型切换</w:t>
      </w:r>
      <w:r>
        <w:rPr>
          <w:sz w:val="20"/>
          <w:szCs w:val="20"/>
        </w:rPr>
        <w:t xml:space="preserve"> </w:t>
      </w:r>
      <w:r>
        <w:rPr>
          <w:rFonts w:hint="eastAsia"/>
          <w:sz w:val="20"/>
          <w:szCs w:val="20"/>
        </w:rPr>
        <w:t xml:space="preserve">[2]；Cruz</w:t>
      </w:r>
      <w:r>
        <w:rPr>
          <w:sz w:val="20"/>
          <w:szCs w:val="20"/>
        </w:rPr>
        <w:t xml:space="preserve"> Ulloa </w:t>
      </w:r>
      <w:r>
        <w:rPr>
          <w:rFonts w:hint="eastAsia"/>
          <w:sz w:val="20"/>
          <w:szCs w:val="20"/>
        </w:rPr>
        <w:t xml:space="preserve">等将混合现实遥操作用于四足机械臂搜救辅助任务</w:t>
      </w:r>
      <w:r>
        <w:rPr>
          <w:sz w:val="20"/>
          <w:szCs w:val="20"/>
        </w:rPr>
        <w:t xml:space="preserve"> </w:t>
      </w:r>
      <w:r>
        <w:rPr>
          <w:rFonts w:hint="eastAsia"/>
          <w:sz w:val="20"/>
          <w:szCs w:val="20"/>
        </w:rPr>
        <w:t xml:space="preserve">[3]。这些工作表明，运动与操作的结合具有实际价值，也说明控制策略需要与机构、执行器和任务条件共同设计。</w:t>
      </w:r>
    </w:p>
    <w:p>
      <w:pPr>
        <w:pStyle w:val="7"/>
        <w:snapToGrid w:val="0"/>
        <w:numPr>
          <w:numId w:val="0"/>
        </w:numPr>
        <w:rPr>
          <w:sz w:val="20"/>
        </w:rPr>
      </w:pPr>
      <w:r>
        <w:rPr>
          <w:rFonts w:hint="eastAsia"/>
          <w:sz w:val="20"/>
          <w:szCs w:val="20"/>
        </w:rPr>
        <w:t xml:space="preserve">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pPr>
        <w:pStyle w:val="7"/>
        <w:snapToGrid w:val="0"/>
        <w:numPr>
          <w:numId w:val="0"/>
        </w:numPr>
        <w:rPr>
          <w:sz w:val="20"/>
        </w:rPr>
      </w:pPr>
      <w:r>
        <w:rPr>
          <w:rFonts w:hint="eastAsia"/>
          <w:sz w:val="20"/>
          <w:szCs w:val="20"/>
        </w:rPr>
        <w:t xml:space="preserve">本文沿用技术报告</w:t>
      </w:r>
      <w:r>
        <w:rPr>
          <w:sz w:val="20"/>
          <w:szCs w:val="20"/>
        </w:rPr>
        <w:t xml:space="preserve"> [4] </w:t>
      </w:r>
      <w:r>
        <w:rPr>
          <w:rFonts w:hint="eastAsia"/>
          <w:sz w:val="20"/>
          <w:szCs w:val="20"/>
        </w:rPr>
        <w:t xml:space="preserve">的系统路线，并参考仓库机械设计资料</w:t>
      </w:r>
      <w:r>
        <w:rPr>
          <w:sz w:val="20"/>
          <w:szCs w:val="20"/>
        </w:rPr>
        <w:t xml:space="preserve"> [5] </w:t>
      </w:r>
      <w:r>
        <w:rPr>
          <w:rFonts w:hint="eastAsia"/>
          <w:sz w:val="20"/>
          <w:szCs w:val="20"/>
        </w:rPr>
        <w:t xml:space="preserve">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 xml:space="preserve">三平移机构和三转动编码器手柄构成异构主端，结合解析逆解及底盘平移补偿完成末端位姿输入。本文对已有记录进行整理和分析，不将尚未完成的约束优化或未测量的性能指标作为实验结果。</w:t>
      </w:r>
    </w:p>
    <w:bookmarkEnd w:id="13"/>
    <w:bookmarkStart w:id="16" w:name="ii.-相关工作related-work"/>
    <w:p>
      <w:pPr>
        <w:pStyle w:val="2"/>
        <w:snapToGrid w:val="0"/>
        <w:numPr>
          <w:numId w:val="0"/>
        </w:numPr>
      </w:pPr>
      <w:r>
        <w:t xml:space="preserve">II. </w:t>
      </w:r>
      <w:r>
        <w:rPr>
          <w:rFonts w:hint="eastAsia"/>
        </w:rPr>
        <w:t xml:space="preserve">相关工作（Related</w:t>
      </w:r>
      <w:r>
        <w:t xml:space="preserve"> </w:t>
      </w:r>
      <w:r>
        <w:rPr>
          <w:rFonts w:hint="eastAsia"/>
        </w:rPr>
        <w:t xml:space="preserve">Work）</w:t>
      </w:r>
    </w:p>
    <w:bookmarkStart w:id="14" w:name="a.-轮足移动操作与整机控制"/>
    <w:p>
      <w:pPr>
        <w:pStyle w:val="3"/>
        <w:snapToGrid w:val="0"/>
        <w:numPr>
          <w:numId w:val="0"/>
        </w:numPr>
      </w:pPr>
      <w:r>
        <w:t xml:space="preserve">A. </w:t>
      </w:r>
      <w:r>
        <w:rPr>
          <w:rFonts w:hint="eastAsia"/>
        </w:rPr>
        <w:t xml:space="preserve">轮足移动操作与整机控制</w:t>
      </w:r>
    </w:p>
    <w:p>
      <w:pPr>
        <w:pStyle w:val="7"/>
        <w:snapToGrid w:val="0"/>
        <w:numPr>
          <w:numId w:val="0"/>
        </w:numPr>
        <w:rPr>
          <w:sz w:val="20"/>
        </w:rPr>
      </w:pPr>
      <w:r>
        <w:rPr>
          <w:rFonts w:hint="eastAsia"/>
          <w:sz w:val="20"/>
          <w:szCs w:val="20"/>
        </w:rPr>
        <w:t xml:space="preserve">移动机械臂的控制需要兼顾机身稳定与末端运动。[1]</w:t>
      </w:r>
      <w:r>
        <w:rPr>
          <w:sz w:val="20"/>
          <w:szCs w:val="20"/>
        </w:rPr>
        <w:t xml:space="preserve"> </w:t>
      </w:r>
      <w:r>
        <w:rPr>
          <w:rFonts w:hint="eastAsia"/>
          <w:sz w:val="20"/>
          <w:szCs w:val="20"/>
        </w:rPr>
        <w:t xml:space="preserve">将机械臂约束引入强化学习，并通过课程设计协调移动与操作；其方法包含训练、策略部署和实机验证环节。[2]</w:t>
      </w:r>
      <w:r>
        <w:rPr>
          <w:sz w:val="20"/>
          <w:szCs w:val="20"/>
        </w:rPr>
        <w:t xml:space="preserve"> </w:t>
      </w:r>
      <w:r>
        <w:rPr>
          <w:rFonts w:hint="eastAsia"/>
          <w:sz w:val="20"/>
          <w:szCs w:val="20"/>
        </w:rPr>
        <w:t xml:space="preserve">采用虚拟模型控制与线性二次调节器，并对多模块连接后的姿态和转向进行协调。这些工作面向不同机构和任务，不能直接用其性能数字与本文平台作横向比较。</w:t>
      </w:r>
    </w:p>
    <w:p>
      <w:pPr>
        <w:pStyle w:val="7"/>
        <w:snapToGrid w:val="0"/>
        <w:numPr>
          <w:numId w:val="0"/>
        </w:numPr>
        <w:rPr>
          <w:sz w:val="20"/>
        </w:rPr>
      </w:pPr>
      <w:r>
        <w:rPr>
          <w:rFonts w:hint="eastAsia"/>
          <w:sz w:val="20"/>
          <w:szCs w:val="20"/>
        </w:rPr>
        <w:t xml:space="preserve">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 xml:space="preserve">[4]。因此，本文保留原稿中的最小范数分配作为简化基线，并说明其物理可行性条件。</w:t>
      </w:r>
    </w:p>
    <w:bookmarkEnd w:id="14"/>
    <w:bookmarkStart w:id="15" w:name="b.-遥操作与异构主端"/>
    <w:p>
      <w:pPr>
        <w:pStyle w:val="3"/>
        <w:snapToGrid w:val="0"/>
        <w:numPr>
          <w:numId w:val="0"/>
        </w:numPr>
      </w:pPr>
      <w:r>
        <w:t xml:space="preserve">B. </w:t>
      </w:r>
      <w:r>
        <w:rPr>
          <w:rFonts w:hint="eastAsia"/>
        </w:rPr>
        <w:t xml:space="preserve">遥操作与异构主端</w:t>
      </w:r>
    </w:p>
    <w:p>
      <w:pPr>
        <w:pStyle w:val="7"/>
        <w:snapToGrid w:val="0"/>
        <w:numPr>
          <w:numId w:val="0"/>
        </w:numPr>
        <w:rPr>
          <w:sz w:val="20"/>
        </w:rPr>
      </w:pPr>
      <w:r>
        <w:rPr>
          <w:sz w:val="20"/>
          <w:szCs w:val="20"/>
        </w:rPr>
        <w:t xml:space="preserve">[3] </w:t>
      </w:r>
      <w:r>
        <w:rPr>
          <w:rFonts w:hint="eastAsia"/>
          <w:sz w:val="20"/>
          <w:szCs w:val="20"/>
        </w:rPr>
        <w:t xml:space="preserve">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 xml:space="preserve">并联机构测量手柄平移，串联的三转动机构测量手柄姿态。主端与从端无需具有相同关节构型，其联系由笛卡尔空间映射建立。</w:t>
      </w:r>
    </w:p>
    <w:p>
      <w:pPr>
        <w:pStyle w:val="7"/>
        <w:snapToGrid w:val="0"/>
        <w:numPr>
          <w:numId w:val="0"/>
        </w:numPr>
        <w:rPr>
          <w:sz w:val="20"/>
        </w:rPr>
      </w:pPr>
      <w:r>
        <w:rPr>
          <w:rFonts w:hint="eastAsia"/>
          <w:sz w:val="20"/>
          <w:szCs w:val="20"/>
        </w:rPr>
        <w:t xml:space="preserve">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15"/>
    <w:bookmarkEnd w:id="16"/>
    <w:bookmarkStart w:id="35" w:name="iii.-提出的方法proposed-method"/>
    <w:p>
      <w:pPr>
        <w:pStyle w:val="2"/>
        <w:snapToGrid w:val="0"/>
        <w:numPr>
          <w:numId w:val="0"/>
        </w:numPr>
      </w:pPr>
      <w:r>
        <w:t xml:space="preserve">III. </w:t>
      </w:r>
      <w:r>
        <w:rPr>
          <w:rFonts w:hint="eastAsia"/>
        </w:rPr>
        <w:t xml:space="preserve">提出的方法（Proposed</w:t>
      </w:r>
      <w:r>
        <w:t xml:space="preserve"> </w:t>
      </w:r>
      <w:r>
        <w:rPr>
          <w:rFonts w:hint="eastAsia"/>
        </w:rPr>
        <w:t xml:space="preserve">Method）</w:t>
      </w:r>
    </w:p>
    <w:bookmarkStart w:id="17" w:name="a.-系统结构与符号约定"/>
    <w:p>
      <w:pPr>
        <w:pStyle w:val="3"/>
        <w:snapToGrid w:val="0"/>
        <w:numPr>
          <w:numId w:val="0"/>
        </w:numPr>
      </w:pPr>
      <w:r>
        <w:t xml:space="preserve">A. </w:t>
      </w:r>
      <w:r>
        <w:rPr>
          <w:rFonts w:hint="eastAsia"/>
        </w:rPr>
        <w:t xml:space="preserve">系统结构与符号约定</w:t>
      </w:r>
    </w:p>
    <w:p>
      <w:pPr>
        <w:pStyle w:val="7"/>
        <w:snapToGrid w:val="0"/>
        <w:numPr>
          <w:numId w:val="0"/>
        </w:numPr>
        <w:rPr>
          <w:sz w:val="20"/>
        </w:rPr>
      </w:pPr>
      <w:r>
        <w:rPr>
          <w:rFonts w:hint="eastAsia"/>
          <w:sz w:val="20"/>
          <w:szCs w:val="20"/>
        </w:rPr>
        <w:t xml:space="preserve">系统由十二自由度四轮足底盘、六转动关节机械臂及单自由度夹爪、Delta</w:t>
      </w:r>
      <w:r>
        <w:rPr>
          <w:sz w:val="20"/>
          <w:szCs w:val="20"/>
        </w:rPr>
        <w:t xml:space="preserve"> </w:t>
      </w:r>
      <w:r>
        <w:rPr>
          <w:rFonts w:hint="eastAsia"/>
          <w:sz w:val="20"/>
          <w:szCs w:val="20"/>
        </w:rPr>
        <w:t xml:space="preserve">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 xml:space="preserve">[5]。这些设计体现轻量化目标，但现有资料尚不足以给出等强度结构的减重百分比。</w:t>
      </w:r>
    </w:p>
    <w:p>
      <w:pPr>
        <w:pStyle w:val="7"/>
        <w:snapToGrid w:val="0"/>
        <w:numPr>
          <w:numId w:val="0"/>
        </w:numPr>
        <w:rPr>
          <w:sz w:val="20"/>
        </w:rPr>
      </w:pPr>
      <w:r>
        <w:rPr>
          <w:rFonts w:hint="eastAsia"/>
          <w:sz w:val="20"/>
          <w:szCs w:val="20"/>
        </w:rPr>
        <w:t xml:space="preserve">控制流程如</w:t>
      </w:r>
      <w:r>
        <w:rPr>
          <w:sz w:val="20"/>
          <w:szCs w:val="20"/>
        </w:rPr>
        <w:t xml:space="preserve"> Fig. 1 </w:t>
      </w:r>
      <w:r>
        <w:rPr>
          <w:rFonts w:hint="eastAsia"/>
          <w:sz w:val="20"/>
          <w:szCs w:val="20"/>
        </w:rPr>
        <w:t xml:space="preserve">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1. </w:t>
      </w:r>
      <w:r>
        <w:rPr>
          <w:rFonts w:hint="eastAsia"/>
          <w:iCs/>
        </w:rPr>
        <w:t xml:space="preserve">整体结构与分层控制框图（留白，待补图）。</w:t>
      </w:r>
    </w:p>
    <w:p>
      <w:pPr>
        <w:pStyle w:val="7"/>
        <w:snapToGrid w:val="0"/>
        <w:numPr>
          <w:numId w:val="0"/>
        </w:numPr>
        <w:rPr>
          <w:sz w:val="20"/>
        </w:rPr>
      </w:pPr>
      <w:r>
        <w:rPr>
          <w:rFonts w:hint="eastAsia"/>
          <w:sz w:val="20"/>
          <w:szCs w:val="20"/>
        </w:rPr>
        <w:t xml:space="preserve">标量采用斜体，矢量采用粗斜体，矩阵采用粗正体；描述性下标、单位和函数名称采用正体。上标</w:t>
      </w:r>
      <w:r>
        <w:rPr>
          <w:sz w:val="20"/>
          <w:szCs w:val="20"/>
        </w:rPr>
        <w:t xml:space="preserve"> </w:t>
      </w:r>
      <m:oMath>
        <m:r>
          <m:rPr>
            <m:sty m:val="p"/>
          </m:rPr>
          <w:rPr>
            <w:sz w:val="20"/>
            <w:szCs w:val="20"/>
            <w:rFonts w:ascii="Cambria Math" w:hAnsi="Cambria Math" w:eastAsia="Cambria Math" w:cs="Cambria Math"/>
            <w:b w:val="0"/>
            <w:i w:val="0"/>
          </w:rPr>
          <m:t>T</m:t>
        </m:r>
      </m:oMath>
      <w:r>
        <w:rPr>
          <w:sz w:val="20"/>
          <w:szCs w:val="20"/>
        </w:rPr>
        <w:t xml:space="preserve"> </w:t>
      </w:r>
      <w:r>
        <w:rPr>
          <w:rFonts w:hint="eastAsia"/>
          <w:sz w:val="20"/>
          <w:szCs w:val="20"/>
        </w:rPr>
        <w:t xml:space="preserve">表示转置，</w:t>
      </w:r>
      <m:oMath>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表示</w:t>
      </w:r>
      <w:r>
        <w:rPr>
          <w:sz w:val="20"/>
          <w:szCs w:val="20"/>
        </w:rPr>
        <w:t xml:space="preserve"> Moore–Penrose </w:t>
      </w:r>
      <w:r>
        <w:rPr>
          <w:rFonts w:hint="eastAsia"/>
          <w:sz w:val="20"/>
          <w:szCs w:val="20"/>
        </w:rPr>
        <w:t xml:space="preserve">伪逆；</w:t>
      </w:r>
      <m:oMath>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sSub>
          <m:e>
            <m:r>
              <m:rPr>
                <m:sty m:val="p"/>
              </m:rPr>
              <w:rPr>
                <w:sz w:val="20"/>
                <w:szCs w:val="20"/>
                <w:rFonts w:ascii="Cambria Math" w:hAnsi="Cambria Math" w:eastAsia="Cambria Math" w:cs="Cambria Math"/>
                <w:b w:val="0"/>
                <w:i w:val="0"/>
              </w:rPr>
              <m:t>]</m:t>
            </m:r>
          </m:e>
          <m:sub>
            <m:r>
              <m:rPr>
                <m:sty m:val="p"/>
              </m:rPr>
              <w:rPr>
                <w:sz w:val="20"/>
                <w:szCs w:val="20"/>
                <w:rFonts w:ascii="Cambria Math" w:hAnsi="Cambria Math" w:eastAsia="Cambria Math" w:cs="Cambria Math"/>
                <w:b w:val="0"/>
                <w:i w:val="0"/>
              </w:rPr>
              <m:t>×</m:t>
            </m:r>
          </m:sub>
        </m:sSub>
        <m:r>
          <m:rPr>
            <m:sty m:val="bi"/>
          </m:rPr>
          <w:rPr>
            <w:sz w:val="20"/>
            <w:szCs w:val="20"/>
            <w:rFonts w:ascii="Cambria Math" w:hAnsi="Cambria Math" w:eastAsia="Cambria Math" w:cs="Cambria Math"/>
            <w:b w:val="1"/>
            <w:i w:val="1"/>
          </w:rPr>
          <m:t>y</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y</m:t>
        </m:r>
      </m:oMath>
      <w:r>
        <w:rPr>
          <w:sz w:val="20"/>
          <w:szCs w:val="20"/>
        </w:rPr>
        <w:t xml:space="preserve">。</w:t>
      </w:r>
      <m:oMath>
        <m:sSub>
          <m:e>
            <m:r>
              <m:rPr>
                <m:sty m:val="b"/>
              </m:rPr>
              <w:rPr>
                <w:sz w:val="20"/>
                <w:szCs w:val="20"/>
                <w:rFonts w:ascii="Cambria Math" w:hAnsi="Cambria Math" w:eastAsia="Cambria Math" w:cs="Cambria Math"/>
                <w:b w:val="1"/>
                <w:i w:val="0"/>
              </w:rPr>
              <m:t>I</m:t>
            </m:r>
          </m:e>
          <m:sub>
            <m:r>
              <w:rPr>
                <w:sz w:val="20"/>
                <w:szCs w:val="20"/>
                <w:rFonts w:ascii="Cambria Math" w:hAnsi="Cambria Math" w:eastAsia="Cambria Math" w:cs="Cambria Math"/>
              </w:rPr>
              <m:t>n</m:t>
            </m:r>
          </m:sub>
        </m:sSub>
      </m:oMath>
      <w:r>
        <w:rPr>
          <w:sz w:val="20"/>
          <w:szCs w:val="20"/>
        </w:rPr>
        <w:t xml:space="preserve"> </w:t>
      </w:r>
      <w:r>
        <w:rPr>
          <w:rFonts w:hint="eastAsia"/>
          <w:sz w:val="20"/>
          <w:szCs w:val="20"/>
        </w:rPr>
        <w:t xml:space="preserve">为</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阶单位矩阵，惯性张量另记为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或</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oMath>
      <w:r>
        <w:rPr>
          <w:rFonts w:hint="eastAsia"/>
          <w:sz w:val="20"/>
          <w:szCs w:val="20"/>
        </w:rPr>
        <w:t xml:space="preserve">。符号</w:t>
      </w:r>
      <w:r>
        <w:rPr>
          <w:sz w:val="20"/>
          <w:szCs w:val="20"/>
        </w:rPr>
        <w:t xml:space="preserve"> </w:t>
      </w:r>
      <m:oMath>
        <m:r>
          <m:rPr>
            <m:sty m:val="p"/>
          </m:rPr>
          <w:rPr>
            <w:sz w:val="20"/>
            <w:szCs w:val="20"/>
            <w:rFonts w:ascii="Cambria Math" w:hAnsi="Cambria Math" w:eastAsia="Cambria Math" w:cs="Cambria Math"/>
            <w:b w:val="0"/>
            <w:i w:val="0"/>
          </w:rPr>
          <m:t>d</m:t>
        </m:r>
      </m:oMath>
      <w:r>
        <w:rPr>
          <w:sz w:val="20"/>
          <w:szCs w:val="20"/>
        </w:rPr>
        <w:t xml:space="preserve">、</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f</m:t>
        </m:r>
      </m:oMath>
      <w:r>
        <w:rPr>
          <w:sz w:val="20"/>
          <w:szCs w:val="20"/>
        </w:rPr>
        <w:t xml:space="preserve"> </w:t>
      </w:r>
      <w:r>
        <w:rPr>
          <w:rFonts w:hint="eastAsia"/>
          <w:sz w:val="20"/>
          <w:szCs w:val="20"/>
        </w:rPr>
        <w:t xml:space="preserve">和</w:t>
      </w:r>
      <w:r>
        <w:rPr>
          <w:sz w:val="20"/>
          <w:szCs w:val="20"/>
        </w:rPr>
        <w:t xml:space="preserve"> </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oMath>
      <w:r>
        <w:rPr>
          <w:sz w:val="20"/>
          <w:szCs w:val="20"/>
        </w:rPr>
        <w:t xml:space="preserve"> </w:t>
      </w:r>
      <w:r>
        <w:rPr>
          <w:rFonts w:hint="eastAsia"/>
          <w:sz w:val="20"/>
          <w:szCs w:val="20"/>
        </w:rPr>
        <w:t xml:space="preserve">分别表示期望、前馈和反馈量。长度、时间和角度统一采用国际单位制。</w:t>
      </w:r>
    </w:p>
    <w:p>
      <w:pPr>
        <w:pStyle w:val="7"/>
        <w:snapToGrid w:val="0"/>
        <w:numPr>
          <w:numId w:val="0"/>
        </w:numPr>
        <w:rPr>
          <w:sz w:val="20"/>
        </w:rPr>
      </w:pPr>
      <w:r>
        <w:rPr>
          <w:rFonts w:hint="eastAsia"/>
          <w:sz w:val="20"/>
          <w:szCs w:val="20"/>
        </w:rPr>
        <w:t xml:space="preserve">定义惯性系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的竖直轴向上；机体系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固连底盘，原点位于基座中心，</w:t>
      </w:r>
      <m:oMath>
        <m:r>
          <w:rPr>
            <w:sz w:val="20"/>
            <w:szCs w:val="20"/>
            <w:rFonts w:ascii="Cambria Math" w:hAnsi="Cambria Math" w:eastAsia="Cambria Math" w:cs="Cambria Math"/>
          </w:rPr>
          <m:t>x</m:t>
        </m:r>
      </m:oMath>
      <w:r>
        <w:rPr>
          <w:sz w:val="20"/>
          <w:szCs w:val="20"/>
        </w:rPr>
        <w:t xml:space="preserve"> </w:t>
      </w:r>
      <w:r>
        <w:rPr>
          <w:rFonts w:hint="eastAsia"/>
          <w:sz w:val="20"/>
          <w:szCs w:val="20"/>
        </w:rPr>
        <w:t xml:space="preserve">轴向前、</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轴向左、</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轴向上。腿基系</w:t>
      </w:r>
      <w:r>
        <w:rPr>
          <w:sz w:val="20"/>
          <w:szCs w:val="20"/>
        </w:rPr>
        <w:t xml:space="preserve"> </w:t>
      </w:r>
      <m:oMath>
        <m:r>
          <m:rPr>
            <m:sty m:val="p"/>
          </m:rPr>
          <w:rPr>
            <w:sz w:val="20"/>
            <w:szCs w:val="20"/>
            <w:rFonts w:ascii="Cambria Math" w:hAnsi="Cambria Math" w:eastAsia="Cambria Math" w:cs="Cambria Math"/>
            <w:b w:val="0"/>
            <w:i w:val="0"/>
          </w:rPr>
          <m:t>{</m:t>
        </m:r>
        <m:sSub>
          <m:e>
            <m:r>
              <m:rPr>
                <m:sty m:val="p"/>
              </m:rPr>
              <w:rPr>
                <w:sz w:val="20"/>
                <w:szCs w:val="20"/>
                <w:rFonts w:ascii="Cambria Math" w:hAnsi="Cambria Math" w:eastAsia="Cambria Math" w:cs="Cambria Math"/>
                <w:b w:val="0"/>
                <w:i w:val="0"/>
              </w:rPr>
              <m:t>l</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位于第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个髋部，腿部运动平面为其</w:t>
      </w:r>
      <w:r>
        <w:rPr>
          <w:sz w:val="20"/>
          <w:szCs w:val="20"/>
        </w:rPr>
        <w:t xml:space="preserve"> </w:t>
      </w:r>
      <m:oMath>
        <m:r>
          <w:rPr>
            <w:sz w:val="20"/>
            <w:szCs w:val="20"/>
            <w:rFonts w:ascii="Cambria Math" w:hAnsi="Cambria Math" w:eastAsia="Cambria Math" w:cs="Cambria Math"/>
          </w:rPr>
          <m:t>x</m:t>
        </m:r>
        <m:r>
          <w:rPr>
            <w:sz w:val="20"/>
            <w:szCs w:val="20"/>
            <w:rFonts w:ascii="Cambria Math" w:hAnsi="Cambria Math" w:eastAsia="Cambria Math" w:cs="Cambria Math"/>
          </w:rPr>
          <m:t>y</m:t>
        </m:r>
      </m:oMath>
      <w:r>
        <w:rPr>
          <w:sz w:val="20"/>
          <w:szCs w:val="20"/>
        </w:rPr>
        <w:t xml:space="preserve"> </w:t>
      </w:r>
      <w:r>
        <w:rPr>
          <w:rFonts w:hint="eastAsia"/>
          <w:sz w:val="20"/>
          <w:szCs w:val="20"/>
        </w:rPr>
        <w:t xml:space="preserve">平面。</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将机体系分量变换至惯性系。力矩计算涉及的各矢量必须先变换至同一坐标系；基座中心与整机质心不重合时，力臂必须相对于质心重新计算。</w:t>
      </w:r>
    </w:p>
    <w:bookmarkEnd w:id="17"/>
    <w:bookmarkStart w:id="29" w:name="b.-底盘模块"/>
    <w:p>
      <w:pPr>
        <w:pStyle w:val="3"/>
        <w:snapToGrid w:val="0"/>
        <w:numPr>
          <w:numId w:val="0"/>
        </w:numPr>
      </w:pPr>
      <w:r>
        <w:t xml:space="preserve">B. </w:t>
      </w:r>
      <w:r>
        <w:rPr>
          <w:rFonts w:hint="eastAsia"/>
        </w:rPr>
        <w:t xml:space="preserve">底盘模块</w:t>
      </w:r>
    </w:p>
    <w:bookmarkStart w:id="18" w:name="概述与单腿运动学"/>
    <w:p>
      <w:pPr>
        <w:pStyle w:val="4"/>
        <w:snapToGrid w:val="0"/>
        <w:numPr>
          <w:numId w:val="0"/>
        </w:numPr>
      </w:pPr>
      <w:r>
        <w:t xml:space="preserve">1) </w:t>
      </w:r>
      <w:r>
        <w:rPr>
          <w:rFonts w:hint="eastAsia"/>
        </w:rPr>
        <w:t xml:space="preserve">概述与单腿运动学</w:t>
      </w:r>
    </w:p>
    <w:p>
      <w:pPr>
        <w:pStyle w:val="7"/>
        <w:snapToGrid w:val="0"/>
        <w:numPr>
          <w:numId w:val="0"/>
        </w:numPr>
        <w:rPr>
          <w:sz w:val="20"/>
        </w:rPr>
      </w:pPr>
      <w:r>
        <w:rPr>
          <w:rFonts w:hint="eastAsia"/>
          <w:sz w:val="20"/>
          <w:szCs w:val="20"/>
        </w:rPr>
        <w:t xml:space="preserve">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pPr>
        <w:pStyle w:val="7"/>
        <w:snapToGrid w:val="0"/>
        <w:numPr>
          <w:numId w:val="0"/>
        </w:numPr>
        <w:rPr>
          <w:sz w:val="20"/>
        </w:rPr>
      </w:pPr>
      <w:r>
        <w:rPr>
          <w:rFonts w:hint="eastAsia"/>
          <w:sz w:val="20"/>
          <w:szCs w:val="20"/>
        </w:rPr>
        <w:t xml:space="preserve">设单腿关节角为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，大腿和小腿长度为</w:t>
      </w:r>
      <w:r>
        <w:rPr>
          <w:sz w:val="20"/>
          <w:szCs w:val="20"/>
        </w:rPr>
        <w:t xml:space="preserve"> </w:t>
      </w:r>
      <m:oMath>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rFonts w:hint="eastAsia"/>
          <w:sz w:val="20"/>
          <w:szCs w:val="20"/>
        </w:rPr>
        <w:t xml:space="preserve">；轮心位置为</w:t>
      </w:r>
      <w:r>
        <w:rPr>
          <w:sz w:val="20"/>
          <w:szCs w:val="20"/>
        </w:rPr>
        <w:t xml:space="preserve"> </w:t>
      </w:r>
      <m:oMath>
        <m:sSubSup>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sub>
          <m:sup>
            <m:r>
              <m:rPr>
                <m:sty m:val="p"/>
              </m:rPr>
              <w:rPr>
                <w:sz w:val="20"/>
                <w:szCs w:val="20"/>
                <w:rFonts w:ascii="Cambria Math" w:hAnsi="Cambria Math" w:eastAsia="Cambria Math" w:cs="Cambria Math"/>
                <w:b w:val="0"/>
                <w:i w:val="0"/>
              </w:rPr>
              <m:t>l</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。此处将原稿“足端位置”明确为轮轴中心，区别于轮地触点。零位为两连杆沿腿基系负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轴伸直，关节角正向由下式确定。几何参数见</w:t>
      </w:r>
      <w:r>
        <w:rPr>
          <w:sz w:val="20"/>
          <w:szCs w:val="20"/>
        </w:rPr>
        <w:t xml:space="preserve"> TABLE </w:t>
      </w:r>
      <w:r>
        <w:rPr>
          <w:rFonts w:hint="eastAsia"/>
          <w:sz w:val="20"/>
          <w:szCs w:val="20"/>
        </w:rPr>
        <w:t xml:space="preserve">I，Fig.</w:t>
      </w:r>
      <w:r>
        <w:rPr>
          <w:sz w:val="20"/>
          <w:szCs w:val="20"/>
        </w:rPr>
        <w:t xml:space="preserve"> 2 </w:t>
      </w:r>
      <w:r>
        <w:rPr>
          <w:rFonts w:hint="eastAsia"/>
          <w:sz w:val="20"/>
          <w:szCs w:val="20"/>
        </w:rPr>
        <w:t xml:space="preserve">预留相应坐标图。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2. </w:t>
      </w:r>
      <w:r>
        <w:rPr>
          <w:rFonts w:hint="eastAsia"/>
          <w:iCs/>
        </w:rPr>
        <w:t xml:space="preserve">单腿坐标系、关节角零位与轮心位置（留白；现有示意图角度基准需与正文统一）。</w:t>
      </w:r>
    </w:p>
    <w:p>
      <w:pPr>
        <w:pStyle w:val="28"/>
        <w:snapToGrid w:val="0"/>
        <w:numPr>
          <w:numId w:val="0"/>
        </w:numPr>
        <w:keepNext/>
      </w:pPr>
      <w:r>
        <w:rPr>
          <w:bCs/>
        </w:rPr>
        <w:t xml:space="preserve">TABLE I. </w:t>
      </w:r>
      <w:r>
        <w:rPr>
          <w:rFonts w:hint="eastAsia"/>
          <w:bCs/>
        </w:rPr>
        <w:t xml:space="preserve">单腿几何与传动参数</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数值或单位</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定义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1</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大腿关节中心距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0.220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小腿关节中心距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1</m:t>
                  </m:r>
                </m:sub>
              </m:sSub>
              <m:r>
                <m:rPr>
                  <m:sty m:val="p"/>
                </m:rPr>
                <w:rPr>
                  <w:sz w:val="16"/>
                  <w:szCs w:val="16"/>
                  <w:rFonts w:ascii="Cambria Math" w:hAnsi="Cambria Math" w:eastAsia="Cambria Math" w:cs="Cambria Math"/>
                  <w:b w:val="0"/>
                  <w:i w:val="0"/>
                </w:rPr>
                <m:t>,</m:t>
              </m:r>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等效串联关节角</w:t>
            </w:r>
          </w:p>
        </w:tc>
        <w:trPr>
          <w:cantSplit/>
        </w:trPr>
      </w:tr>
      <w:tr>
        <w:tc>
          <w:tcPr>
            <w:tcW w:w="1622" w:type="dxa"/>
          </w:tcPr>
          <w:p>
            <w:pPr>
              <w:pStyle w:val="26"/>
              <w:snapToGrid w:val="0"/>
              <w:numPr>
                <w:numId w:val="0"/>
              </w:numPr>
              <w:rPr>
                <w:sz w:val="16"/>
              </w:rPr>
              <w:spacing w:before="0" w:after="0" w:line="240" w:lineRule="auto"/>
              <w:keepNext w:val="1"/>
            </w:pPr>
            <m:oMath>
              <m:sSub>
                <m:e>
                  <m:r>
                    <m:rPr>
                      <m:sty m:val="bi"/>
                    </m:rPr>
                    <w:rPr>
                      <w:sz w:val="16"/>
                      <w:szCs w:val="16"/>
                      <w:rFonts w:ascii="Cambria Math" w:hAnsi="Cambria Math" w:eastAsia="Cambria Math" w:cs="Cambria Math"/>
                      <w:b w:val="1"/>
                      <w:i w:val="1"/>
                    </w:rPr>
                    <m:t>η</m:t>
                  </m:r>
                </m:e>
                <m:sub>
                  <m:r>
                    <m:rPr>
                      <m:sty m:val="p"/>
                    </m:rPr>
                    <w:rPr>
                      <w:sz w:val="16"/>
                      <w:szCs w:val="16"/>
                      <w:rFonts w:ascii="Cambria Math" w:hAnsi="Cambria Math" w:eastAsia="Cambria Math" w:cs="Cambria Math"/>
                      <w:b w:val="0"/>
                      <w:i w:val="0"/>
                    </w:rPr>
                    <m:t>l</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两路髋部驱动输出轴角</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m</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0.547</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单轮模型质量</w:t>
            </w:r>
            <w:r>
              <w:rPr>
                <w:sz w:val="16"/>
                <w:szCs w:val="16"/>
              </w:rPr>
              <w:t xml:space="preserve"> [4]</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0"/>
            </w:pPr>
            <m:oMath>
              <m:r>
                <m:rPr>
                  <m:sty m:val="p"/>
                </m:rPr>
                <w:rPr>
                  <w:sz w:val="16"/>
                  <w:szCs w:val="16"/>
                  <w:rFonts w:ascii="Cambria Math" w:hAnsi="Cambria Math" w:eastAsia="Cambria Math" w:cs="Cambria Math"/>
                  <w:b w:val="0"/>
                  <w:i w:val="0"/>
                </w:rPr>
                <m:t>m</m:t>
              </m:r>
            </m:oMath>
            <w:r>
              <w:rPr>
                <w:rFonts w:hint="eastAsia"/>
                <w:sz w:val="16"/>
                <w:szCs w:val="16"/>
              </w:rPr>
              <w:t xml:space="preserve">，待标定</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车轮有效滚动半径</w:t>
            </w:r>
          </w:p>
        </w:tc>
        <w:trPr>
          <w:cantSplit/>
        </w:trPr>
      </w:tr>
    </w:tbl>
    <w:p>
      <w:pPr>
        <w:pStyle w:val="7"/>
        <w:snapToGrid w:val="0"/>
        <w:numPr>
          <w:numId w:val="0"/>
        </w:numPr>
        <w:rPr>
          <w:sz w:val="20"/>
        </w:rPr>
      </w:pPr>
      <w:r>
        <w:rPr>
          <w:rFonts w:hint="eastAsia"/>
          <w:sz w:val="20"/>
          <w:szCs w:val="20"/>
        </w:rPr>
        <w:t xml:space="preserve">忽略连杆弹性，单腿正运动学为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sin</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cos</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w:t>
            </w:r>
          </w:p>
        </w:tc>
      </w:tr>
    </w:tbl>
    <w:p>
      <w:pPr>
        <w:pStyle w:val="7"/>
        <w:snapToGrid w:val="0"/>
        <w:numPr>
          <w:numId w:val="0"/>
        </w:numPr>
        <w:rPr>
          <w:sz w:val="20"/>
        </w:rPr>
      </w:pPr>
      <w:r>
        <w:rPr>
          <w:rFonts w:hint="eastAsia"/>
          <w:sz w:val="20"/>
          <w:szCs w:val="20"/>
        </w:rPr>
        <w:t xml:space="preserve">保留原稿的几何逆解分支，定义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ad>
                      <m:radPr>
                        <m:degHide m:val="on"/>
                      </m:radPr>
                      <m:deg/>
                      <m:e>
                        <m:sSubSup>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α</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L</m:t>
                            </m:r>
                          </m:e>
                          <m:sub>
                            <m:r>
                              <w:rPr>
                                <w:sz w:val="18"/>
                                <w:szCs w:val="18"/>
                                <w:rFonts w:ascii="Cambria Math" w:hAnsi="Cambria Math" w:eastAsia="Cambria Math" w:cs="Cambria Math"/>
                              </w:rPr>
                              <m:t>1</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β</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w:t>
            </w:r>
          </w:p>
        </w:tc>
      </w:tr>
    </w:tbl>
    <w:p>
      <w:pPr>
        <w:pStyle w:val="7"/>
        <w:snapToGrid w:val="0"/>
        <w:numPr>
          <w:numId w:val="0"/>
        </w:numPr>
        <w:rPr>
          <w:sz w:val="20"/>
        </w:rPr>
      </w:pPr>
      <w:r>
        <w:rPr>
          <w:rFonts w:hint="eastAsia"/>
          <w:sz w:val="20"/>
          <w:szCs w:val="20"/>
        </w:rPr>
        <w:t xml:space="preserve">在原稿所用轮心位于髋部下方的分支内，</w:t>
      </w:r>
      <m:oMath>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与</w:t>
      </w:r>
      <w:r>
        <w:rPr>
          <w:sz w:val="20"/>
          <w:szCs w:val="20"/>
        </w:rPr>
        <w:t xml:space="preserve"> </w:t>
      </w:r>
      <m:oMath>
        <m:r>
          <m:rPr>
            <m:sty m:val="p"/>
          </m:rPr>
          <w:rPr>
            <w:sz w:val="20"/>
            <w:szCs w:val="20"/>
            <w:rFonts w:ascii="Cambria Math" w:hAnsi="Cambria Math" w:eastAsia="Cambria Math" w:cs="Cambria Math"/>
            <w:b w:val="0"/>
            <w:i w:val="0"/>
          </w:rPr>
          <m:t>arccos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等价；使用双参数反正切可明确象限。令</w:t>
      </w:r>
      <w:r>
        <w:rPr>
          <w:sz w:val="20"/>
          <w:szCs w:val="20"/>
        </w:rPr>
        <w:t xml:space="preserve"> </w:t>
      </w:r>
      <m:oMath>
        <m:sSub>
          <m:e>
            <m:r>
              <w:rPr>
                <w:sz w:val="20"/>
                <w:szCs w:val="20"/>
                <w:rFonts w:ascii="Cambria Math" w:hAnsi="Cambria Math" w:eastAsia="Cambria Math" w:cs="Cambria Math"/>
              </w:rPr>
              <m:t>γ</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α</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f>
                      <m:fPr>
                        <m:type m:val="bar"/>
                      </m:fPr>
                      <m:num>
                        <m:r>
                          <w:rPr>
                            <w:sz w:val="18"/>
                            <w:szCs w:val="18"/>
                            <w:rFonts w:ascii="Cambria Math" w:hAnsi="Cambria Math" w:eastAsia="Cambria Math" w:cs="Cambria Math"/>
                          </w:rPr>
                          <m:t>π</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d>
                      <m:dPr>
                        <m:begChr m:val="("/>
                        <m:sepChr m:val=""/>
                        <m:endChr m:val=")"/>
                        <m:grow/>
                      </m:dPr>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e>
                    </m:d>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w:t>
            </w:r>
          </w:p>
        </w:tc>
      </w:tr>
    </w:tbl>
    <w:p>
      <w:pPr>
        <w:pStyle w:val="7"/>
        <w:snapToGrid w:val="0"/>
        <w:numPr>
          <w:numId w:val="0"/>
        </w:numPr>
        <w:rPr>
          <w:sz w:val="20"/>
        </w:rPr>
      </w:pPr>
      <w:r>
        <w:rPr>
          <w:rFonts w:hint="eastAsia"/>
          <w:sz w:val="20"/>
          <w:szCs w:val="20"/>
        </w:rPr>
        <w:t xml:space="preserve">逆解要求</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且</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。计算时只对浮点舍入导致的微小越界进行反余弦输入截断，真实不可达目标应拒绝或限制。机械膝内角与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的零位不同，[5]</w:t>
      </w:r>
      <w:r>
        <w:rPr>
          <w:sz w:val="20"/>
          <w:szCs w:val="20"/>
        </w:rPr>
        <w:t xml:space="preserve"> </w:t>
      </w:r>
      <w:r>
        <w:rPr>
          <w:rFonts w:hint="eastAsia"/>
          <w:sz w:val="20"/>
          <w:szCs w:val="20"/>
        </w:rPr>
        <w:t xml:space="preserve">给出的膝内角范围不能直接作为上述关节角限位。</w:t>
      </w:r>
    </w:p>
    <w:p>
      <w:pPr>
        <w:pStyle w:val="7"/>
        <w:snapToGrid w:val="0"/>
        <w:numPr>
          <w:numId w:val="0"/>
        </w:numPr>
        <w:rPr>
          <w:sz w:val="20"/>
        </w:rPr>
      </w:pPr>
      <w:r>
        <w:rPr>
          <w:rFonts w:hint="eastAsia"/>
          <w:sz w:val="20"/>
          <w:szCs w:val="20"/>
        </w:rPr>
        <w:t xml:space="preserve">以</w:t>
      </w:r>
      <w:r>
        <w:rPr>
          <w:sz w:val="20"/>
          <w:szCs w:val="20"/>
        </w:rPr>
        <w:t xml:space="preserve"> </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简记，轮心雅可比为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f>
                  <m:fPr>
                    <m:type m:val="bar"/>
                  </m:fPr>
                  <m:num>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sub>
                      <m:sup>
                        <m:r>
                          <m:rPr>
                            <m:sty m:val="p"/>
                          </m:rPr>
                          <w:rPr>
                            <w:sz w:val="18"/>
                            <w:szCs w:val="18"/>
                            <w:rFonts w:ascii="Cambria Math" w:hAnsi="Cambria Math" w:eastAsia="Cambria Math" w:cs="Cambria Math"/>
                            <w:b w:val="0"/>
                            <w:i w:val="0"/>
                          </w:rPr>
                          <m:t>l</m:t>
                        </m:r>
                      </m:sup>
                    </m:sSubSup>
                  </m:num>
                  <m:den>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den>
                </m:f>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m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mr>
                      <m:mr>
                        <m:e>
                          <m:r>
                            <w:rPr>
                              <w:sz w:val="18"/>
                              <w:szCs w:val="18"/>
                              <w:rFonts w:ascii="Cambria Math" w:hAnsi="Cambria Math" w:eastAsia="Cambria Math" w:cs="Cambria Math"/>
                            </w:rPr>
                            <m:t>0</m:t>
                          </m:r>
                        </m:e>
                        <m:e>
                          <m:r>
                            <w:rPr>
                              <w:sz w:val="18"/>
                              <w:szCs w:val="18"/>
                              <w:rFonts w:ascii="Cambria Math" w:hAnsi="Cambria Math" w:eastAsia="Cambria Math" w:cs="Cambria Math"/>
                            </w:rPr>
                            <m:t>0</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w:t>
            </w:r>
          </w:p>
        </w:tc>
      </w:tr>
    </w:tbl>
    <w:bookmarkEnd w:id="18"/>
    <w:bookmarkStart w:id="25" w:name="麦克纳姆轮运动学"/>
    <w:p>
      <w:pPr>
        <w:pStyle w:val="4"/>
        <w:snapToGrid w:val="0"/>
        <w:numPr>
          <w:numId w:val="0"/>
        </w:numPr>
      </w:pPr>
      <w:r>
        <w:t xml:space="preserve">2) </w:t>
      </w:r>
      <w:r>
        <w:rPr>
          <w:rFonts w:hint="eastAsia"/>
        </w:rPr>
        <w:t xml:space="preserve">麦克纳姆轮运动学</w:t>
      </w:r>
    </w:p>
    <w:p>
      <w:pPr>
        <w:pStyle w:val="7"/>
        <w:snapToGrid w:val="0"/>
        <w:numPr>
          <w:numId w:val="0"/>
        </w:numPr>
        <w:rPr>
          <w:sz w:val="20"/>
        </w:rPr>
      </w:pPr>
      <w:r>
        <w:rPr>
          <w:rFonts w:hint="eastAsia"/>
          <w:sz w:val="20"/>
          <w:szCs w:val="20"/>
        </w:rPr>
        <w:t xml:space="preserve">麦克纳姆轮由主动轮毂和沿轮缘分布的被动辊子组成，辊子手性决定侧向速度与轮毂转速之间的符号关系。Fig.</w:t>
      </w:r>
      <w:r>
        <w:rPr>
          <w:sz w:val="20"/>
          <w:szCs w:val="20"/>
        </w:rPr>
        <w:t xml:space="preserve"> 3 </w:t>
      </w:r>
      <w:r>
        <w:rPr>
          <w:rFonts w:hint="eastAsia"/>
          <w:sz w:val="20"/>
          <w:szCs w:val="20"/>
        </w:rPr>
        <w:t xml:space="preserve">给出仓库已有的两种轮体结构。与普通车轮相比，被动辊子允许接触点沿特定方向运动，四轮适当配置后可产生前进、侧移和偏航运动。</w:t>
      </w:r>
    </w:p>
    <w:p>
      <w:pPr>
        <w:pStyle w:val="1"/>
        <w:snapToGrid w:val="0"/>
        <w:numPr>
          <w:numId w:val="0"/>
        </w:numPr>
        <w:keepNext/>
      </w:pPr>
      <w:r>
        <w:drawing>
          <wp:inline>
            <wp:extent cx="3089910" cy="1309010"/>
            <wp:effectExtent b="0" l="0" r="0" t="0"/>
            <wp:docPr descr="Fig. 3(a). A 型麦克纳姆轮结构。" title="" id="20" name="Picture"/>
            <a:graphic>
              <a:graphicData uri="http://schemas.openxmlformats.org/drawingml/2006/picture">
                <pic:pic>
                  <pic:nvPicPr>
                    <pic:cNvPr descr="figures/mec_A.png" id="21" name="Picture"/>
                    <pic:cNvPicPr>
                      <a:picLocks noChangeArrowheads="1" noChangeAspect="1"/>
                    </pic:cNvPicPr>
                  </pic:nvPicPr>
                  <pic:blipFill>
                    <a:blip r:embed="rId19"/>
                    <a:stretch>
                      <a:fillRect/>
                    </a:stretch>
                  </pic:blipFill>
                  <pic:spPr bwMode="auto">
                    <a:xfrm>
                      <a:off x="0" y="0"/>
                      <a:ext cx="3089910" cy="1309010"/>
                    </a:xfrm>
                    <a:prstGeom prst="rect">
                      <a:avLst/>
                    </a:prstGeom>
                    <a:noFill/>
                    <a:ln w="9525">
                      <a:noFill/>
                      <a:headEnd/>
                      <a:tailEnd/>
                    </a:ln>
                  </pic:spPr>
                </pic:pic>
              </a:graphicData>
            </a:graphic>
          </wp:inline>
        </w:drawing>
      </w:r>
    </w:p>
    <w:p>
      <w:pPr>
        <w:pStyle w:val="18"/>
        <w:snapToGrid w:val="0"/>
        <w:numPr>
          <w:numId w:val="0"/>
        </w:numPr>
      </w:pPr>
      <w:r>
        <w:t xml:space="preserve">Fig. 3(a). A </w:t>
      </w:r>
      <w:r>
        <w:rPr>
          <w:rFonts w:hint="eastAsia"/>
        </w:rPr>
        <w:t xml:space="preserve">型麦克纳姆轮结构。</w:t>
      </w:r>
    </w:p>
    <w:p>
      <w:pPr>
        <w:pStyle w:val="1"/>
        <w:snapToGrid w:val="0"/>
        <w:numPr>
          <w:numId w:val="0"/>
        </w:numPr>
        <w:keepNext/>
      </w:pPr>
      <w:r>
        <w:drawing>
          <wp:inline>
            <wp:extent cx="3089910" cy="990494"/>
            <wp:effectExtent b="0" l="0" r="0" t="0"/>
            <wp:docPr descr="Fig. 3(b). B 型麦克纳姆轮结构。" title="" id="23" name="Picture"/>
            <a:graphic>
              <a:graphicData uri="http://schemas.openxmlformats.org/drawingml/2006/picture">
                <pic:pic>
                  <pic:nvPicPr>
                    <pic:cNvPr descr="figures/mec_B.png" id="24" name="Picture"/>
                    <pic:cNvPicPr>
                      <a:picLocks noChangeArrowheads="1" noChangeAspect="1"/>
                    </pic:cNvPicPr>
                  </pic:nvPicPr>
                  <pic:blipFill>
                    <a:blip r:embed="rId22"/>
                    <a:stretch>
                      <a:fillRect/>
                    </a:stretch>
                  </pic:blipFill>
                  <pic:spPr bwMode="auto">
                    <a:xfrm>
                      <a:off x="0" y="0"/>
                      <a:ext cx="3089910" cy="990494"/>
                    </a:xfrm>
                    <a:prstGeom prst="rect">
                      <a:avLst/>
                    </a:prstGeom>
                    <a:noFill/>
                    <a:ln w="9525">
                      <a:noFill/>
                      <a:headEnd/>
                      <a:tailEnd/>
                    </a:ln>
                  </pic:spPr>
                </pic:pic>
              </a:graphicData>
            </a:graphic>
          </wp:inline>
        </w:drawing>
      </w:r>
    </w:p>
    <w:p>
      <w:pPr>
        <w:pStyle w:val="18"/>
        <w:snapToGrid w:val="0"/>
        <w:numPr>
          <w:numId w:val="0"/>
        </w:numPr>
      </w:pPr>
      <w:r>
        <w:t xml:space="preserve">Fig. 3(b). B </w:t>
      </w:r>
      <w:r>
        <w:rPr>
          <w:rFonts w:hint="eastAsia"/>
        </w:rPr>
        <w:t xml:space="preserve">型麦克纳姆轮结构。</w:t>
      </w:r>
    </w:p>
    <w:p>
      <w:pPr>
        <w:pStyle w:val="7"/>
        <w:snapToGrid w:val="0"/>
        <w:numPr>
          <w:numId w:val="0"/>
        </w:numPr>
        <w:rPr>
          <w:sz w:val="20"/>
        </w:rPr>
      </w:pPr>
      <w:r>
        <w:rPr>
          <w:rFonts w:hint="eastAsia"/>
          <w:sz w:val="20"/>
          <w:szCs w:val="20"/>
        </w:rPr>
        <w:t xml:space="preserve">从俯视图左前轮起逆时针编号：</w:t>
      </w:r>
      <m:oMath>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依次为左前、左后、右后、右前。令</w:t>
      </w:r>
      <w:r>
        <w:rPr>
          <w:sz w:val="20"/>
          <w:szCs w:val="20"/>
        </w:rPr>
        <w:t xml:space="preserve"> </w:t>
      </w:r>
      <m:oMath>
        <m:sSub>
          <m:e>
            <m:r>
              <m:rPr>
                <m:sty m:val="bi"/>
              </m:rPr>
              <w:rPr>
                <w:sz w:val="20"/>
                <w:szCs w:val="20"/>
                <w:rFonts w:ascii="Cambria Math" w:hAnsi="Cambria Math" w:eastAsia="Cambria Math" w:cs="Cambria Math"/>
                <w:b w:val="1"/>
                <w:i w:val="1"/>
              </w:rPr>
              <m:t>p</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为机体系下的轮心位置，</w:t>
      </w:r>
      <m:oMath>
        <m:sSub>
          <m:e>
            <m:r>
              <m:rPr>
                <m:sty m:val="bi"/>
              </m:rPr>
              <w:rPr>
                <w:sz w:val="20"/>
                <w:szCs w:val="20"/>
                <w:rFonts w:ascii="Cambria Math" w:hAnsi="Cambria Math" w:eastAsia="Cambria Math" w:cs="Cambria Math"/>
                <w:b w:val="1"/>
                <w:i w:val="1"/>
              </w:rPr>
              <m:t>v</m:t>
            </m:r>
          </m:e>
          <m:sub>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为基座原点速度，</w:t>
      </w:r>
      <m:oMath>
        <m:sSub>
          <m:e>
            <m:r>
              <m:rPr>
                <m:sty m:val="bi"/>
              </m:rPr>
              <w:rPr>
                <w:sz w:val="20"/>
                <w:szCs w:val="20"/>
                <w:rFonts w:ascii="Cambria Math" w:hAnsi="Cambria Math" w:eastAsia="Cambria Math" w:cs="Cambria Math"/>
                <w:b w:val="1"/>
                <w:i w:val="1"/>
              </w:rPr>
              <m:t>ω</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ω</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oMath>
      <w:r>
        <w:rPr>
          <w:rFonts w:hint="eastAsia"/>
          <w:sz w:val="20"/>
          <w:szCs w:val="20"/>
        </w:rPr>
        <w:t xml:space="preserve">。在基座水平、各腿相对基座静止的假设下，所有分量均在机体系表示，有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(5)</w:t>
            </w:r>
          </w:p>
        </w:tc>
      </w:tr>
    </w:tbl>
    <w:p>
      <w:pPr>
        <w:pStyle w:val="7"/>
        <w:snapToGrid w:val="0"/>
        <w:numPr>
          <w:numId w:val="0"/>
        </w:numPr>
        <w:rPr>
          <w:sz w:val="20"/>
        </w:rPr>
      </w:pPr>
      <w:r>
        <w:rPr>
          <w:rFonts w:hint="eastAsia"/>
          <w:sz w:val="20"/>
          <w:szCs w:val="20"/>
        </w:rPr>
        <w:t xml:space="preserve">若同时调整腿部，右侧需加上轮心相对基座速度</w:t>
      </w:r>
      <w:r>
        <w:rPr>
          <w:sz w:val="20"/>
          <w:szCs w:val="20"/>
        </w:rPr>
        <w:t xml:space="preserve"> </w:t>
      </w:r>
      <m:oMath>
        <m:sSub>
          <m:e>
            <m:acc>
              <m:accPr>
                <m:chr m:val="̇"/>
              </m:accPr>
              <m:e>
                <m:r>
                  <m:rPr>
                    <m:sty m:val="bi"/>
                  </m:rPr>
                  <w:rPr>
                    <w:sz w:val="20"/>
                    <w:szCs w:val="20"/>
                    <w:rFonts w:ascii="Cambria Math" w:hAnsi="Cambria Math" w:eastAsia="Cambria Math" w:cs="Cambria Math"/>
                    <w:b w:val="1"/>
                    <w:i w:val="1"/>
                  </w:rPr>
                  <m:t>p</m:t>
                </m:r>
              </m:e>
            </m:acc>
          </m:e>
          <m:sub>
            <m:r>
              <w:rPr>
                <w:sz w:val="20"/>
                <w:szCs w:val="20"/>
                <w:rFonts w:ascii="Cambria Math" w:hAnsi="Cambria Math" w:eastAsia="Cambria Math" w:cs="Cambria Math"/>
              </w:rPr>
              <m:t>i</m:t>
            </m:r>
          </m:sub>
        </m:sSub>
      </m:oMath>
      <w:r>
        <w:rPr>
          <w:rFonts w:hint="eastAsia"/>
          <w:sz w:val="20"/>
          <w:szCs w:val="20"/>
        </w:rPr>
        <w:t xml:space="preserve">。定义轮轴单位矢量</w:t>
      </w:r>
      <w:r>
        <w:rPr>
          <w:sz w:val="20"/>
          <w:szCs w:val="20"/>
        </w:rPr>
        <w:t xml:space="preserve"> </w:t>
      </w:r>
      <m:oMath>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、滚动单位矢量</w:t>
      </w:r>
      <w:r>
        <w:rPr>
          <w:sz w:val="20"/>
          <w:szCs w:val="20"/>
        </w:rPr>
        <w:t xml:space="preserve"> </w:t>
      </w:r>
      <m:oMath>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，并规定正轮速使轮毂在接触点产生</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w</m:t>
            </m:r>
          </m:sub>
        </m:sSub>
        <m:sSub>
          <m:e>
            <m:r>
              <w:rPr>
                <w:sz w:val="20"/>
                <w:szCs w:val="20"/>
                <w:rFonts w:ascii="Cambria Math" w:hAnsi="Cambria Math" w:eastAsia="Cambria Math" w:cs="Cambria Math"/>
              </w:rPr>
              <m:t>ω</m:t>
            </m:r>
          </m:e>
          <m:sub>
            <m:r>
              <w:rPr>
                <w:sz w:val="20"/>
                <w:szCs w:val="20"/>
                <w:rFonts w:ascii="Cambria Math" w:hAnsi="Cambria Math" w:eastAsia="Cambria Math" w:cs="Cambria Math"/>
              </w:rPr>
              <m:t>i</m:t>
            </m:r>
          </m:sub>
        </m:sSub>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的速度。令辊子自由滚动方向和轴线方向分别为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t</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为从轮轴方向到辊子自由滚动方向的有向角。理想接触下，沿辊子轴线的相对滑动为零，即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d>
                  <m:dPr>
                    <m:begChr m:val="("/>
                    <m:sepChr m:val=""/>
                    <m:endChr m:val=")"/>
                    <m:grow/>
                  </m:dPr>
                  <m:e>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e>
                </m:d>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(7)</w:t>
            </w:r>
          </w:p>
        </w:tc>
      </w:tr>
    </w:tbl>
    <w:p>
      <w:pPr>
        <w:pStyle w:val="7"/>
        <w:snapToGrid w:val="0"/>
        <w:numPr>
          <w:numId w:val="0"/>
        </w:numPr>
        <w:rPr>
          <w:sz w:val="20"/>
        </w:rPr>
      </w:pPr>
      <w:r>
        <w:rPr>
          <w:rFonts w:hint="eastAsia"/>
          <w:sz w:val="20"/>
          <w:szCs w:val="20"/>
        </w:rPr>
        <w:t xml:space="preserve">消去被动辊子速度后得到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f>
                  <m:fPr>
                    <m:type m:val="bar"/>
                  </m:fPr>
                  <m:num>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tan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den>
                </m:f>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(8)</w:t>
            </w:r>
          </w:p>
        </w:tc>
      </w:tr>
    </w:tbl>
    <w:p>
      <w:pPr>
        <w:pStyle w:val="7"/>
        <w:snapToGrid w:val="0"/>
        <w:numPr>
          <w:numId w:val="0"/>
        </w:numPr>
        <w:rPr>
          <w:sz w:val="20"/>
        </w:rPr>
      </w:pPr>
      <w:r>
        <w:rPr>
          <w:rFonts w:hint="eastAsia"/>
          <w:sz w:val="20"/>
          <w:szCs w:val="20"/>
        </w:rPr>
        <w:t xml:space="preserve">原稿中的</w:t>
      </w:r>
      <w:r>
        <w:rPr>
          <w:sz w:val="20"/>
          <w:szCs w:val="20"/>
        </w:rPr>
        <w:t xml:space="preserve"> </w:t>
      </w:r>
      <m:oMath>
        <m:r>
          <m:rPr>
            <m:sty m:val="p"/>
          </m:rPr>
          <w:rPr>
            <w:sz w:val="20"/>
            <w:szCs w:val="20"/>
            <w:rFonts w:ascii="Cambria Math" w:hAnsi="Cambria Math" w:eastAsia="Cambria Math" w:cs="Cambria Math"/>
            <w:b w:val="0"/>
            <w:i w:val="0"/>
          </w:rPr>
          <m:t>cot</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在</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时与此式相同；这里依据角度定义统一为</w:t>
      </w:r>
      <w:r>
        <w:rPr>
          <w:sz w:val="20"/>
          <w:szCs w:val="20"/>
        </w:rPr>
        <w:t xml:space="preserve"> </w:t>
      </w:r>
      <m:oMath>
        <m:r>
          <m:rPr>
            <m:sty m:val="p"/>
          </m:rPr>
          <w:rPr>
            <w:sz w:val="20"/>
            <w:szCs w:val="20"/>
            <w:rFonts w:ascii="Cambria Math" w:hAnsi="Cambria Math" w:eastAsia="Cambria Math" w:cs="Cambria Math"/>
            <w:b w:val="0"/>
            <w:i w:val="0"/>
          </w:rPr>
          <m:t>tan</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rFonts w:hint="eastAsia"/>
          <w:sz w:val="20"/>
          <w:szCs w:val="20"/>
        </w:rPr>
        <w:t xml:space="preserve">。该式保留了普通车轮的滚动项与辊子带来的侧向项。轮毂相对小腿的编码器速度与绝对自转速度还相差小腿绕轮轴的转速；腿部运动时应进行相应补偿。</w:t>
      </w:r>
    </w:p>
    <w:bookmarkEnd w:id="25"/>
    <w:bookmarkStart w:id="26" w:name="轮体动力学与足端力映射"/>
    <w:p>
      <w:pPr>
        <w:pStyle w:val="4"/>
        <w:snapToGrid w:val="0"/>
        <w:numPr>
          <w:numId w:val="0"/>
        </w:numPr>
      </w:pPr>
      <w:r>
        <w:t xml:space="preserve">3) </w:t>
      </w:r>
      <w:r>
        <w:rPr>
          <w:rFonts w:hint="eastAsia"/>
        </w:rPr>
        <w:t xml:space="preserve">轮体动力学与足端力映射</w:t>
      </w:r>
    </w:p>
    <w:p>
      <w:pPr>
        <w:pStyle w:val="7"/>
        <w:snapToGrid w:val="0"/>
        <w:numPr>
          <w:numId w:val="0"/>
        </w:numPr>
        <w:rPr>
          <w:sz w:val="20"/>
        </w:rPr>
      </w:pPr>
      <w:r>
        <w:rPr>
          <w:rFonts w:hint="eastAsia"/>
          <w:sz w:val="20"/>
          <w:szCs w:val="20"/>
        </w:rPr>
        <w:t xml:space="preserve">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 xml:space="preserve">预留轮体自由体图。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4. </w:t>
      </w:r>
      <w:r>
        <w:rPr>
          <w:rFonts w:hint="eastAsia"/>
          <w:iCs/>
        </w:rPr>
        <w:t xml:space="preserve">轮体自由体、接触力与轴端反作用力矩（留白，待补图）。</w:t>
      </w:r>
    </w:p>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为地面对轮的作用力，</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sz w:val="20"/>
          <w:szCs w:val="20"/>
        </w:rPr>
        <w:t xml:space="preserve"> </w:t>
      </w:r>
      <w:r>
        <w:rPr>
          <w:rFonts w:hint="eastAsia"/>
          <w:sz w:val="20"/>
          <w:szCs w:val="20"/>
        </w:rPr>
        <w:t xml:space="preserve">为小腿对轮的作用力，</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为轮质心加速度，</w:t>
      </w:r>
      <m:oMath>
        <m:r>
          <m:rPr>
            <m:sty m:val="bi"/>
          </m:rPr>
          <w:rPr>
            <w:sz w:val="20"/>
            <w:szCs w:val="20"/>
            <w:rFonts w:ascii="Cambria Math" w:hAnsi="Cambria Math" w:eastAsia="Cambria Math" w:cs="Cambria Math"/>
            <w:b w:val="1"/>
            <w:i w:val="1"/>
          </w:rPr>
          <m:t>g</m:t>
        </m:r>
      </m:oMath>
      <w:r>
        <w:rPr>
          <w:sz w:val="20"/>
          <w:szCs w:val="20"/>
        </w:rPr>
        <w:t xml:space="preserve"> </w:t>
      </w:r>
      <w:r>
        <w:rPr>
          <w:rFonts w:hint="eastAsia"/>
          <w:sz w:val="20"/>
          <w:szCs w:val="20"/>
        </w:rPr>
        <w:t xml:space="preserve">为重力加速度矢量。在同一坐标系下，牛顿方程给出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c</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(9)</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为轮质心指向触点的力臂，轮轴正向单位矢量为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x</m:t>
            </m:r>
          </m:sub>
        </m:sSub>
      </m:oMath>
      <w:r>
        <w:rPr>
          <w:rFonts w:hint="eastAsia"/>
          <w:sz w:val="20"/>
          <w:szCs w:val="20"/>
        </w:rPr>
        <w:t xml:space="preserve">，则轮电机轴向驱动力矩为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x</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acc>
                          <m:accPr>
                            <m:chr m:val="̇"/>
                          </m:accPr>
                          <m:e>
                            <m:r>
                              <m:rPr>
                                <m:sty m:val="bi"/>
                              </m:rPr>
                              <w:rPr>
                                <w:sz w:val="18"/>
                                <w:szCs w:val="18"/>
                                <w:rFonts w:ascii="Cambria Math" w:hAnsi="Cambria Math" w:eastAsia="Cambria Math" w:cs="Cambria Math"/>
                                <w:b w:val="1"/>
                                <w:i w:val="1"/>
                              </w:rPr>
                              <m:t>ω</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(10)</w:t>
            </w:r>
          </w:p>
        </w:tc>
      </w:tr>
    </w:tbl>
    <w:p>
      <w:pPr>
        <w:pStyle w:val="7"/>
        <w:snapToGrid w:val="0"/>
        <w:numPr>
          <w:numId w:val="0"/>
        </w:numPr>
        <w:rPr>
          <w:sz w:val="20"/>
        </w:rPr>
      </w:pPr>
      <w:r>
        <w:rPr>
          <w:rFonts w:hint="eastAsia"/>
          <w:sz w:val="20"/>
          <w:szCs w:val="20"/>
        </w:rPr>
        <w:t xml:space="preserve">该表达式取轮轴方向投影；其余方向的约束力矩由轴承和机构承担。报告的简化实现忽略陀螺项。低速近似下可以采用这一处理，但不能据此将快速转动时的惯性耦合恒等置零。</w:t>
      </w:r>
    </w:p>
    <w:p>
      <w:pPr>
        <w:pStyle w:val="7"/>
        <w:snapToGrid w:val="0"/>
        <w:numPr>
          <w:numId w:val="0"/>
        </w:numPr>
        <w:rPr>
          <w:sz w:val="20"/>
        </w:rPr>
      </w:pPr>
      <w:r>
        <w:rPr>
          <w:rFonts w:hint="eastAsia"/>
          <w:sz w:val="20"/>
          <w:szCs w:val="20"/>
        </w:rPr>
        <w:t xml:space="preserve">设腿部等效关节角与驱动输出轴角满足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sSub>
                  <m:e>
                    <m:r>
                      <m:rPr>
                        <m:sty m:val="bi"/>
                      </m:rPr>
                      <w:rPr>
                        <w:sz w:val="18"/>
                        <w:szCs w:val="18"/>
                        <w:rFonts w:ascii="Cambria Math" w:hAnsi="Cambria Math" w:eastAsia="Cambria Math" w:cs="Cambria Math"/>
                        <w:b w:val="1"/>
                        <w:i w:val="1"/>
                      </w:rPr>
                      <m:t>η</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r>
                            <w:rPr>
                              <w:sz w:val="18"/>
                              <w:szCs w:val="18"/>
                              <w:rFonts w:ascii="Cambria Math" w:hAnsi="Cambria Math" w:eastAsia="Cambria Math" w:cs="Cambria Math"/>
                            </w:rPr>
                            <m:t>1</m:t>
                          </m:r>
                        </m:e>
                        <m:e>
                          <m:r>
                            <w:rPr>
                              <w:sz w:val="18"/>
                              <w:szCs w:val="18"/>
                              <w:rFonts w:ascii="Cambria Math" w:hAnsi="Cambria Math" w:eastAsia="Cambria Math" w:cs="Cambria Math"/>
                            </w:rPr>
                            <m:t>0</m:t>
                          </m:r>
                        </m:e>
                      </m:mr>
                      <m:mr>
                        <m:e>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e>
                        <m:e>
                          <m:r>
                            <w:rPr>
                              <w:sz w:val="18"/>
                              <w:szCs w:val="18"/>
                              <w:rFonts w:ascii="Cambria Math" w:hAnsi="Cambria Math" w:eastAsia="Cambria Math" w:cs="Cambria Math"/>
                            </w:rPr>
                            <m:t>1</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(11)</w:t>
            </w:r>
          </w:p>
        </w:tc>
      </w:tr>
    </w:tbl>
    <w:p>
      <w:pPr>
        <w:pStyle w:val="7"/>
        <w:snapToGrid w:val="0"/>
        <w:numPr>
          <w:numId w:val="0"/>
        </w:numPr>
        <w:rPr>
          <w:sz w:val="20"/>
        </w:rPr>
      </w:pPr>
      <w:r>
        <w:rPr>
          <w:rFonts w:hint="eastAsia"/>
          <w:sz w:val="20"/>
          <w:szCs w:val="20"/>
        </w:rPr>
        <w:t xml:space="preserve">该关系描述机构几何耦合，电机转子侧减速比需要另行换算。令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功率共轭的广义力矩，</w:t>
      </w:r>
      <m:oMath>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共轭的驱动力矩。轮对小腿的力为</w:t>
      </w:r>
      <w:r>
        <w:rPr>
          <w:sz w:val="20"/>
          <w:szCs w:val="20"/>
        </w:rPr>
        <w:t xml:space="preserve"> </w:t>
      </w:r>
      <m:oMath>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rFonts w:hint="eastAsia"/>
          <w:sz w:val="20"/>
          <w:szCs w:val="20"/>
        </w:rPr>
        <w:t xml:space="preserve">，反作用轴向力矩为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τ</m:t>
            </m:r>
          </m:e>
          <m:sub>
            <m:r>
              <m:rPr>
                <m:sty m:val="p"/>
              </m:rPr>
              <w:rPr>
                <w:sz w:val="20"/>
                <w:szCs w:val="20"/>
                <w:rFonts w:ascii="Cambria Math" w:hAnsi="Cambria Math" w:eastAsia="Cambria Math" w:cs="Cambria Math"/>
                <w:b w:val="0"/>
                <w:i w:val="0"/>
              </w:rPr>
              <m:t>w</m:t>
            </m:r>
          </m:sub>
        </m:sSub>
      </m:oMath>
      <w:r>
        <w:rPr>
          <w:rFonts w:hint="eastAsia"/>
          <w:sz w:val="20"/>
          <w:szCs w:val="20"/>
        </w:rPr>
        <w:t xml:space="preserve">；选取与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正向一致的轴向标量后，虚功平衡为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Sup>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up>
                        <m:r>
                          <m:rPr>
                            <m:sty m:val="p"/>
                          </m:rPr>
                          <w:rPr>
                            <w:sz w:val="18"/>
                            <w:szCs w:val="18"/>
                            <w:rFonts w:ascii="Cambria Math" w:hAnsi="Cambria Math" w:eastAsia="Cambria Math" w:cs="Cambria Math"/>
                            <w:b w:val="0"/>
                            <w:i w:val="0"/>
                          </w:rPr>
                          <m:t>T</m:t>
                        </m:r>
                      </m:sup>
                    </m:sSubSup>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Sub>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(12)</w:t>
            </w:r>
          </w:p>
        </w:tc>
      </w:tr>
    </w:tbl>
    <w:p>
      <w:pPr>
        <w:pStyle w:val="7"/>
        <w:snapToGrid w:val="0"/>
        <w:numPr>
          <w:numId w:val="0"/>
        </w:numPr>
        <w:rPr>
          <w:sz w:val="20"/>
        </w:rPr>
      </w:pPr>
      <w:r>
        <w:rPr>
          <w:rFonts w:hint="eastAsia"/>
          <w:sz w:val="20"/>
          <w:szCs w:val="20"/>
        </w:rPr>
        <w:t xml:space="preserve">因此，在忽略腿杆重力与惯性时，</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τ</m:t>
                        </m:r>
                      </m:e>
                      <m:sub>
                        <m:r>
                          <w:rPr>
                            <w:sz w:val="18"/>
                            <w:szCs w:val="18"/>
                            <w:rFonts w:ascii="Cambria Math" w:hAnsi="Cambria Math" w:eastAsia="Cambria Math" w:cs="Cambria Math"/>
                          </w:rPr>
                          <m:t>η</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(13)</w:t>
            </w:r>
          </w:p>
        </w:tc>
      </w:tr>
    </w:tbl>
    <w:p>
      <w:pPr>
        <w:pStyle w:val="7"/>
        <w:snapToGrid w:val="0"/>
        <w:numPr>
          <w:numId w:val="0"/>
        </w:numPr>
        <w:rPr>
          <w:sz w:val="20"/>
        </w:rPr>
      </w:pPr>
      <w:r>
        <w:rPr>
          <w:rFonts w:hint="eastAsia"/>
          <w:sz w:val="20"/>
          <w:szCs w:val="20"/>
        </w:rPr>
        <w:t xml:space="preserve">第二式来自</w:t>
      </w:r>
      <w:r>
        <w:rPr>
          <w:sz w:val="20"/>
          <w:szCs w:val="20"/>
        </w:rPr>
        <w:t xml:space="preserve"> </w:t>
      </w:r>
      <m:oMath>
        <m:sSubSup>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oMath>
      <w:r>
        <w:rPr>
          <w:rFonts w:hint="eastAsia"/>
          <w:sz w:val="20"/>
          <w:szCs w:val="20"/>
        </w:rPr>
        <w:t xml:space="preserve">，因而必须使用传动矩阵的转置。若在维修架上考虑杆件自重，应在第一式增加</w:t>
      </w:r>
      <w:r>
        <w:rPr>
          <w:sz w:val="20"/>
          <w:szCs w:val="20"/>
        </w:rPr>
        <w:t xml:space="preserve"> </w:t>
      </w:r>
      <m:oMath>
        <m:r>
          <m:rPr>
            <m:sty m:val="p"/>
          </m:rPr>
          <w:rPr>
            <w:sz w:val="20"/>
            <w:szCs w:val="20"/>
            <w:rFonts w:ascii="Cambria Math" w:hAnsi="Cambria Math" w:eastAsia="Cambria Math" w:cs="Cambria Math"/>
            <w:b w:val="0"/>
            <w:i w:val="0"/>
          </w:rPr>
          <m:t>−</m:t>
        </m:r>
        <m:nary>
          <m:naryPr>
            <m:chr m:val="∑"/>
            <m:limLoc m:val="undOvr"/>
            <m:subHide m:val="off"/>
            <m:supHide m:val="off"/>
          </m:naryPr>
          <m:sub>
            <m:r>
              <w:rPr>
                <w:sz w:val="20"/>
                <w:szCs w:val="20"/>
                <w:rFonts w:ascii="Cambria Math" w:hAnsi="Cambria Math" w:eastAsia="Cambria Math" w:cs="Cambria Math"/>
              </w:rPr>
              <m:t>j</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up>
            <m:r>
              <w:rPr>
                <w:sz w:val="20"/>
                <w:szCs w:val="20"/>
                <w:rFonts w:ascii="Cambria Math" w:hAnsi="Cambria Math" w:eastAsia="Cambria Math" w:cs="Cambria Math"/>
              </w:rPr>
              <m:t>2</m:t>
            </m:r>
          </m:sup>
          <m:e>
            <m:sSubSup>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up>
                <m:r>
                  <m:rPr>
                    <m:sty m:val="p"/>
                  </m:rPr>
                  <w:rPr>
                    <w:sz w:val="20"/>
                    <w:szCs w:val="20"/>
                    <w:rFonts w:ascii="Cambria Math" w:hAnsi="Cambria Math" w:eastAsia="Cambria Math" w:cs="Cambria Math"/>
                    <w:b w:val="0"/>
                    <w:i w:val="0"/>
                  </w:rPr>
                  <m:t>T</m:t>
                </m:r>
              </m:sup>
            </m:sSubSup>
          </m:e>
        </m:nary>
        <m:sSub>
          <m:e>
            <m:r>
              <w:rPr>
                <w:sz w:val="20"/>
                <w:szCs w:val="20"/>
                <w:rFonts w:ascii="Cambria Math" w:hAnsi="Cambria Math" w:eastAsia="Cambria Math" w:cs="Cambria Math"/>
              </w:rPr>
              <m:t>m</m:t>
            </m:r>
          </m:e>
          <m:sub>
            <m:r>
              <w:rPr>
                <w:sz w:val="20"/>
                <w:szCs w:val="20"/>
                <w:rFonts w:ascii="Cambria Math" w:hAnsi="Cambria Math" w:eastAsia="Cambria Math" w:cs="Cambria Math"/>
              </w:rPr>
              <m:t>j</m:t>
            </m:r>
          </m:sub>
        </m:sSub>
        <m:r>
          <m:rPr>
            <m:sty m:val="bi"/>
          </m:rPr>
          <w:rPr>
            <w:sz w:val="20"/>
            <w:szCs w:val="20"/>
            <w:rFonts w:ascii="Cambria Math" w:hAnsi="Cambria Math" w:eastAsia="Cambria Math" w:cs="Cambria Math"/>
            <w:b w:val="1"/>
            <w:i w:val="1"/>
          </w:rPr>
          <m:t>g</m:t>
        </m:r>
      </m:oMath>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为第</w:t>
      </w:r>
      <w:r>
        <w:rPr>
          <w:sz w:val="20"/>
          <w:szCs w:val="20"/>
        </w:rPr>
        <w:t xml:space="preserve"> </w:t>
      </w:r>
      <m:oMath>
        <m:r>
          <w:rPr>
            <w:sz w:val="20"/>
            <w:szCs w:val="20"/>
            <w:rFonts w:ascii="Cambria Math" w:hAnsi="Cambria Math" w:eastAsia="Cambria Math" w:cs="Cambria Math"/>
          </w:rPr>
          <m:t>j</m:t>
        </m:r>
      </m:oMath>
      <w:r>
        <w:rPr>
          <w:sz w:val="20"/>
          <w:szCs w:val="20"/>
        </w:rPr>
        <w:t xml:space="preserve"> </w:t>
      </w:r>
      <w:r>
        <w:rPr>
          <w:rFonts w:hint="eastAsia"/>
          <w:sz w:val="20"/>
          <w:szCs w:val="20"/>
        </w:rPr>
        <w:t xml:space="preserve">根杆件质心的雅可比。所有轮端力均须先变换至腿基系。</w:t>
      </w:r>
    </w:p>
    <w:bookmarkEnd w:id="26"/>
    <w:bookmarkStart w:id="27" w:name="整机单刚体动力学"/>
    <w:p>
      <w:pPr>
        <w:pStyle w:val="4"/>
        <w:snapToGrid w:val="0"/>
        <w:numPr>
          <w:numId w:val="0"/>
        </w:numPr>
      </w:pPr>
      <w:r>
        <w:t xml:space="preserve">4) </w:t>
      </w:r>
      <w:r>
        <w:rPr>
          <w:rFonts w:hint="eastAsia"/>
        </w:rPr>
        <w:t xml:space="preserve">整机单刚体动力学</w:t>
      </w:r>
    </w:p>
    <w:p>
      <w:pPr>
        <w:pStyle w:val="7"/>
        <w:snapToGrid w:val="0"/>
        <w:numPr>
          <w:numId w:val="0"/>
        </w:numPr>
        <w:rPr>
          <w:sz w:val="20"/>
        </w:rPr>
      </w:pPr>
      <w:r>
        <w:rPr>
          <w:rFonts w:hint="eastAsia"/>
          <w:sz w:val="20"/>
          <w:szCs w:val="20"/>
        </w:rPr>
        <w:t xml:space="preserve">将机身、机械臂及支撑机构作为具有等效质量和惯量的系统，忽略其快速内部相对运动，采用单刚体近似。整机质量记为</w:t>
      </w:r>
      <w:r>
        <w:rPr>
          <w:sz w:val="20"/>
          <w:szCs w:val="20"/>
        </w:rPr>
        <w:t xml:space="preserve"> </w:t>
      </w:r>
      <m:oMath>
        <m:r>
          <w:rPr>
            <w:sz w:val="20"/>
            <w:szCs w:val="20"/>
            <w:rFonts w:ascii="Cambria Math" w:hAnsi="Cambria Math" w:eastAsia="Cambria Math" w:cs="Cambria Math"/>
          </w:rPr>
          <m:t>m</m:t>
        </m:r>
      </m:oMath>
      <w:r>
        <w:rPr>
          <w:rFonts w:hint="eastAsia"/>
          <w:sz w:val="20"/>
          <w:szCs w:val="20"/>
        </w:rPr>
        <w:t xml:space="preserve">，质心加速度为</w:t>
      </w:r>
      <w:r>
        <w:rPr>
          <w:sz w:val="20"/>
          <w:szCs w:val="20"/>
        </w:rPr>
        <w:t xml:space="preserve"> </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G</m:t>
            </m:r>
          </m:sub>
        </m:sSub>
      </m:oMath>
      <w:r>
        <w:rPr>
          <w:rFonts w:hint="eastAsia"/>
          <w:sz w:val="20"/>
          <w:szCs w:val="20"/>
        </w:rPr>
        <w:t xml:space="preserve">；</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为质心指向第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个触点的矢量。Fig.</w:t>
      </w:r>
      <w:r>
        <w:rPr>
          <w:sz w:val="20"/>
          <w:szCs w:val="20"/>
        </w:rPr>
        <w:t xml:space="preserve"> 5 </w:t>
      </w:r>
      <w:r>
        <w:rPr>
          <w:rFonts w:hint="eastAsia"/>
          <w:sz w:val="20"/>
          <w:szCs w:val="20"/>
        </w:rPr>
        <w:t xml:space="preserve">预留接触力和质心示意图。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5. </w:t>
      </w:r>
      <w:r>
        <w:rPr>
          <w:rFonts w:hint="eastAsia"/>
          <w:iCs/>
        </w:rPr>
        <w:t xml:space="preserve">整机质心、四轮触点及接触力分配（留白，待补图）。</w:t>
      </w:r>
    </w:p>
    <w:p>
      <w:pPr>
        <w:pStyle w:val="7"/>
        <w:snapToGrid w:val="0"/>
        <w:numPr>
          <w:numId w:val="0"/>
        </w:numPr>
        <w:rPr>
          <w:sz w:val="20"/>
        </w:rPr>
      </w:pPr>
      <w:r>
        <w:rPr>
          <w:rFonts w:hint="eastAsia"/>
          <w:sz w:val="20"/>
          <w:szCs w:val="20"/>
        </w:rPr>
        <w:t xml:space="preserve">以下各量均在惯性系表示。机体系惯性张量需变换为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sSubSup>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up>
            <m:r>
              <m:rPr>
                <m:sty m:val="p"/>
              </m:rPr>
              <w:rPr>
                <w:sz w:val="20"/>
                <w:szCs w:val="20"/>
                <w:rFonts w:ascii="Cambria Math" w:hAnsi="Cambria Math" w:eastAsia="Cambria Math" w:cs="Cambria Math"/>
                <w:b w:val="0"/>
                <w:i w:val="0"/>
              </w:rPr>
              <m:t>T</m:t>
            </m:r>
          </m:sup>
        </m:sSubSup>
      </m:oMath>
      <w:r>
        <w:rPr>
          <w:rFonts w:hint="eastAsia"/>
          <w:sz w:val="20"/>
          <w:szCs w:val="20"/>
        </w:rPr>
        <w:t xml:space="preserve">。令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(14)</w:t>
            </w:r>
          </w:p>
        </w:tc>
      </w:tr>
    </w:tbl>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w:rPr>
                                  <w:sz w:val="18"/>
                                  <w:szCs w:val="18"/>
                                  <w:rFonts w:ascii="Cambria Math" w:hAnsi="Cambria Math" w:eastAsia="Cambria Math" w:cs="Cambria Math"/>
                                </w:rPr>
                                <m:t>m</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G</m:t>
                                  </m:r>
                                </m:sub>
                              </m:sSub>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e>
                          </m:mr>
                          <m:mr>
                            <m:e>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acc>
                                <m:accPr>
                                  <m:chr m:val="̇"/>
                                </m:accPr>
                                <m:e>
                                  <m:r>
                                    <m:rPr>
                                      <m:sty m:val="bi"/>
                                    </m:rPr>
                                    <w:rPr>
                                      <w:sz w:val="18"/>
                                      <w:szCs w:val="18"/>
                                      <w:rFonts w:ascii="Cambria Math" w:hAnsi="Cambria Math" w:eastAsia="Cambria Math" w:cs="Cambria Math"/>
                                      <w:b w:val="1"/>
                                      <w:i w:val="1"/>
                                    </w:rPr>
                                    <m:t>ω</m:t>
                                  </m:r>
                                </m:e>
                              </m:acc>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(15)</w:t>
            </w:r>
          </w:p>
        </w:tc>
      </w:tr>
    </w:tbl>
    <w:p>
      <w:pPr>
        <w:pStyle w:val="7"/>
        <w:snapToGrid w:val="0"/>
        <w:numPr>
          <w:numId w:val="0"/>
        </w:numPr>
        <w:rPr>
          <w:sz w:val="20"/>
        </w:rPr>
      </w:pPr>
      <w:r>
        <w:rPr>
          <w:rFonts w:hint="eastAsia"/>
          <w:sz w:val="20"/>
          <w:szCs w:val="20"/>
        </w:rPr>
        <w:t xml:space="preserve">牛顿与欧拉方程可以写为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(16)</w:t>
            </w:r>
          </w:p>
        </w:tc>
      </w:tr>
    </w:tbl>
    <w:p>
      <w:pPr>
        <w:pStyle w:val="7"/>
        <w:snapToGrid w:val="0"/>
        <w:numPr>
          <w:numId w:val="0"/>
        </w:numPr>
        <w:rPr>
          <w:sz w:val="20"/>
        </w:rPr>
      </w:pPr>
      <w:r>
        <w:rPr>
          <w:rFonts w:hint="eastAsia"/>
          <w:sz w:val="20"/>
          <w:szCs w:val="20"/>
        </w:rPr>
        <w:t xml:space="preserve">其中</w:t>
      </w:r>
      <w:r>
        <w:rPr>
          <w:sz w:val="20"/>
          <w:szCs w:val="20"/>
        </w:rPr>
        <w:t xml:space="preserve"> </w:t>
      </w:r>
      <m:oMath>
        <m:r>
          <m:rPr>
            <m:sty m:val="b"/>
          </m:rPr>
          <w:rPr>
            <w:sz w:val="20"/>
            <w:szCs w:val="20"/>
            <w:rFonts w:ascii="Cambria Math" w:hAnsi="Cambria Math" w:eastAsia="Cambria Math" w:cs="Cambria Math"/>
            <w:b w:val="1"/>
            <w:i w:val="0"/>
          </w:rPr>
          <m:t>H</m:t>
        </m:r>
        <m:r>
          <m:rPr>
            <m:sty m:val="p"/>
          </m:rPr>
          <w:rPr>
            <w:sz w:val="20"/>
            <w:szCs w:val="20"/>
            <w:rFonts w:ascii="Cambria Math" w:hAnsi="Cambria Math" w:eastAsia="Cambria Math" w:cs="Cambria Math"/>
            <w:b w:val="0"/>
            <w:i w:val="0"/>
          </w:rPr>
          <m:t>∈</m:t>
        </m:r>
        <m:sSup>
          <m:e>
            <m:r>
              <m:rPr>
                <m:scr m:val="double-struck"/>
                <m:sty m:val="p"/>
              </m:rPr>
              <w:rPr>
                <w:sz w:val="20"/>
                <w:szCs w:val="20"/>
                <w:rFonts w:ascii="Cambria Math" w:hAnsi="Cambria Math" w:eastAsia="Cambria Math" w:cs="Cambria Math"/>
                <w:b w:val="0"/>
                <w:i w:val="0"/>
              </w:rPr>
              <m:t>R</m:t>
            </m:r>
          </m:e>
          <m:sup>
            <m:r>
              <w:rPr>
                <w:sz w:val="20"/>
                <w:szCs w:val="20"/>
                <w:rFonts w:ascii="Cambria Math" w:hAnsi="Cambria Math" w:eastAsia="Cambria Math" w:cs="Cambria Math"/>
              </w:rPr>
              <m:t>6</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12</m:t>
            </m:r>
          </m:sup>
        </m:sSup>
      </m:oMath>
      <w:r>
        <w:rPr>
          <w:rFonts w:hint="eastAsia"/>
          <w:sz w:val="20"/>
          <w:szCs w:val="20"/>
        </w:rPr>
        <w:t xml:space="preserve">。与原稿一致，低速计算可忽略</w:t>
      </w:r>
      <w:r>
        <w:rPr>
          <w:sz w:val="20"/>
          <w:szCs w:val="20"/>
        </w:rPr>
        <w:t xml:space="preserve"> </w:t>
      </w:r>
      <m:oMath>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oMath>
      <w:r>
        <w:rPr>
          <w:rFonts w:hint="eastAsia"/>
          <w:sz w:val="20"/>
          <w:szCs w:val="20"/>
        </w:rPr>
        <w:t xml:space="preserve">；姿态变化明显或机械臂快速运动时，需要重新评估此近似。无接触不等式约束时，最小范数分配为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up>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H</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(17)</w:t>
            </w:r>
          </w:p>
        </w:tc>
      </w:tr>
    </w:tbl>
    <w:p>
      <w:pPr>
        <w:pStyle w:val="7"/>
        <w:snapToGrid w:val="0"/>
        <w:numPr>
          <w:numId w:val="0"/>
        </w:numPr>
        <w:rPr>
          <w:sz w:val="20"/>
        </w:rPr>
      </w:pPr>
      <w:r>
        <w:rPr>
          <w:rFonts w:hint="eastAsia"/>
          <w:sz w:val="20"/>
          <w:szCs w:val="20"/>
        </w:rPr>
        <w:t xml:space="preserve">右侧逆矩阵形式仅在</w:t>
      </w:r>
      <w:r>
        <w:rPr>
          <w:sz w:val="20"/>
          <w:szCs w:val="20"/>
        </w:rPr>
        <w:t xml:space="preserve"> </w:t>
      </w:r>
      <m:oMath>
        <m:r>
          <m:rPr>
            <m:sty m:val="b"/>
          </m:rPr>
          <w:rPr>
            <w:sz w:val="20"/>
            <w:szCs w:val="20"/>
            <w:rFonts w:ascii="Cambria Math" w:hAnsi="Cambria Math" w:eastAsia="Cambria Math" w:cs="Cambria Math"/>
            <w:b w:val="1"/>
            <w:i w:val="0"/>
          </w:rPr>
          <m:t>H</m:t>
        </m:r>
      </m:oMath>
      <w:r>
        <w:rPr>
          <w:sz w:val="20"/>
          <w:szCs w:val="20"/>
        </w:rPr>
        <w:t xml:space="preserve"> </w:t>
      </w:r>
      <w:r>
        <w:rPr>
          <w:rFonts w:hint="eastAsia"/>
          <w:sz w:val="20"/>
          <w:szCs w:val="20"/>
        </w:rPr>
        <w:t xml:space="preserve">满行秩时成立。该解最小化接触力的欧氏范数，并不直接最小化电池能耗，也不自动满足法向力非负、摩擦上限以及辊子方向约束。</w:t>
      </w:r>
    </w:p>
    <w:p>
      <w:pPr>
        <w:pStyle w:val="7"/>
        <w:snapToGrid w:val="0"/>
        <w:numPr>
          <w:numId w:val="0"/>
        </w:numPr>
        <w:rPr>
          <w:sz w:val="20"/>
        </w:rPr>
      </w:pPr>
      <w:r>
        <w:rPr>
          <w:rFonts w:hint="eastAsia"/>
          <w:sz w:val="20"/>
          <w:szCs w:val="20"/>
        </w:rPr>
        <w:t xml:space="preserve">对于水平接触，理想模型还要求</w:t>
      </w:r>
      <w:r>
        <w:rPr>
          <w:sz w:val="20"/>
          <w:szCs w:val="20"/>
        </w:rPr>
        <w:t xml:space="preserve"> </w:t>
      </w:r>
      <m:oMath>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w:t>
      </w:r>
      <m:oMath>
        <m:sSubSup>
          <m:e>
            <m:r>
              <m:rPr>
                <m:sty m:val="bi"/>
              </m:rPr>
              <w:rPr>
                <w:sz w:val="20"/>
                <w:szCs w:val="20"/>
                <w:rFonts w:ascii="Cambria Math" w:hAnsi="Cambria Math" w:eastAsia="Cambria Math" w:cs="Cambria Math"/>
                <w:b w:val="1"/>
                <w:i w:val="1"/>
              </w:rPr>
              <m:t>t</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及</w:t>
      </w:r>
      <w:r>
        <w:rPr>
          <w:sz w:val="20"/>
          <w:szCs w:val="20"/>
        </w:rPr>
        <w:t xml:space="preserve"> </w:t>
      </w:r>
      <m:oMath>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n</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为有效摩擦系数，方向矢量需转换至惯性系。基线分配不满足这些条件时，不能视为可直接执行的地面力。报告提出的二次规划可加入这些限制，但不属于本文已有实验的实现结果。</w:t>
      </w:r>
    </w:p>
    <w:bookmarkEnd w:id="27"/>
    <w:bookmarkStart w:id="28" w:name="姿态控制器与离地检测"/>
    <w:p>
      <w:pPr>
        <w:pStyle w:val="4"/>
        <w:snapToGrid w:val="0"/>
        <w:numPr>
          <w:numId w:val="0"/>
        </w:numPr>
      </w:pPr>
      <w:r>
        <w:t xml:space="preserve">5) </w:t>
      </w:r>
      <w:r>
        <w:rPr>
          <w:rFonts w:hint="eastAsia"/>
        </w:rPr>
        <w:t xml:space="preserve">姿态控制器与离地检测</w:t>
      </w:r>
    </w:p>
    <w:p>
      <w:pPr>
        <w:pStyle w:val="7"/>
        <w:snapToGrid w:val="0"/>
        <w:numPr>
          <w:numId w:val="0"/>
        </w:numPr>
        <w:rPr>
          <w:sz w:val="20"/>
        </w:rPr>
      </w:pPr>
      <w:r>
        <w:rPr>
          <w:rFonts w:hint="eastAsia"/>
          <w:sz w:val="20"/>
          <w:szCs w:val="20"/>
        </w:rPr>
        <w:t xml:space="preserve">固定腿部关节姿态难以适应地面高度变化。本文保留原稿“由姿态误差增量调整腿长”的控制思路，以惯性测量单元（IMU）提供的滚转角</w:t>
      </w:r>
      <w:r>
        <w:rPr>
          <w:sz w:val="20"/>
          <w:szCs w:val="20"/>
        </w:rPr>
        <w:t xml:space="preserve"> </w:t>
      </w:r>
      <m:oMath>
        <m:r>
          <w:rPr>
            <w:sz w:val="20"/>
            <w:szCs w:val="20"/>
            <w:rFonts w:ascii="Cambria Math" w:hAnsi="Cambria Math" w:eastAsia="Cambria Math" w:cs="Cambria Math"/>
          </w:rPr>
          <m:t>ϕ</m:t>
        </m:r>
      </m:oMath>
      <w:r>
        <w:rPr>
          <w:rFonts w:hint="eastAsia"/>
          <w:sz w:val="20"/>
          <w:szCs w:val="20"/>
        </w:rPr>
        <w:t xml:space="preserve">、俯仰角</w:t>
      </w:r>
      <w:r>
        <w:rPr>
          <w:sz w:val="20"/>
          <w:szCs w:val="20"/>
        </w:rPr>
        <w:t xml:space="preserve"> </w:t>
      </w:r>
      <m:oMath>
        <m:r>
          <w:rPr>
            <w:sz w:val="20"/>
            <w:szCs w:val="20"/>
            <w:rFonts w:ascii="Cambria Math" w:hAnsi="Cambria Math" w:eastAsia="Cambria Math" w:cs="Cambria Math"/>
          </w:rPr>
          <m:t>θ</m:t>
        </m:r>
      </m:oMath>
      <w:r>
        <w:rPr>
          <w:sz w:val="20"/>
          <w:szCs w:val="20"/>
        </w:rPr>
        <w:t xml:space="preserve"> </w:t>
      </w:r>
      <w:r>
        <w:rPr>
          <w:rFonts w:hint="eastAsia"/>
          <w:sz w:val="20"/>
          <w:szCs w:val="20"/>
        </w:rPr>
        <w:t xml:space="preserve">及角速度作为反馈。报告采用角度—角速度串级比例控制并累加腿高修正</w:t>
      </w:r>
      <w:r>
        <w:rPr>
          <w:sz w:val="20"/>
          <w:szCs w:val="20"/>
        </w:rPr>
        <w:t xml:space="preserve"> </w:t>
      </w:r>
      <w:r>
        <w:rPr>
          <w:rFonts w:hint="eastAsia"/>
          <w:sz w:val="20"/>
          <w:szCs w:val="20"/>
        </w:rPr>
        <w:t xml:space="preserve">[4]。对任一姿态轴</w:t>
      </w:r>
      <w:r>
        <w:rPr>
          <w:sz w:val="20"/>
          <w:szCs w:val="20"/>
        </w:rPr>
        <w:t xml:space="preserve"> </w:t>
      </w:r>
      <m:oMath>
        <m:r>
          <w:rPr>
            <w:sz w:val="20"/>
            <w:szCs w:val="20"/>
            <w:rFonts w:ascii="Cambria Math" w:hAnsi="Cambria Math" w:eastAsia="Cambria Math" w:cs="Cambria Math"/>
          </w:rPr>
          <m:t>χ</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ϕ</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θ</m:t>
        </m:r>
        <m:r>
          <m:rPr>
            <m:sty m:val="p"/>
          </m:rPr>
          <w:rPr>
            <w:sz w:val="20"/>
            <w:szCs w:val="20"/>
            <w:rFonts w:ascii="Cambria Math" w:hAnsi="Cambria Math" w:eastAsia="Cambria Math" w:cs="Cambria Math"/>
            <w:b w:val="0"/>
            <w:i w:val="0"/>
          </w:rPr>
          <m:t>}</m:t>
        </m:r>
      </m:oMath>
      <w:r>
        <w:rPr>
          <w:rFonts w:hint="eastAsia"/>
          <w:sz w:val="20"/>
          <w:szCs w:val="20"/>
        </w:rPr>
        <w:t xml:space="preserve">，可写为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χ</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h</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d>
                      <m:dPr>
                        <m:begChr m:val="("/>
                        <m:sepChr m:val=""/>
                        <m:endChr m:val=")"/>
                        <m:grow/>
                      </m:dPr>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acc>
                          <m:accPr>
                            <m:chr m:val="̇"/>
                          </m:accPr>
                          <m:e>
                            <m:r>
                              <w:rPr>
                                <w:sz w:val="18"/>
                                <w:szCs w:val="18"/>
                                <w:rFonts w:ascii="Cambria Math" w:hAnsi="Cambria Math" w:eastAsia="Cambria Math" w:cs="Cambria Math"/>
                              </w:rPr>
                              <m:t>χ</m:t>
                            </m:r>
                          </m:e>
                        </m:acc>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(18)</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u</m:t>
            </m:r>
          </m:e>
          <m:sub>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是具有长度单位的支撑高度修正量，离散增益</w:t>
      </w:r>
      <w:r>
        <w:rPr>
          <w:sz w:val="20"/>
          <w:szCs w:val="20"/>
        </w:rPr>
        <w:t xml:space="preserve"> </w:t>
      </w:r>
      <m:oMath>
        <m:sSub>
          <m:e>
            <m:r>
              <w:rPr>
                <w:sz w:val="20"/>
                <w:szCs w:val="20"/>
                <w:rFonts w:ascii="Cambria Math" w:hAnsi="Cambria Math" w:eastAsia="Cambria Math" w:cs="Cambria Math"/>
              </w:rPr>
              <m:t>k</m:t>
            </m:r>
          </m:e>
          <m:sub>
            <m:r>
              <m:rPr>
                <m:sty m:val="p"/>
              </m:rPr>
              <w:rPr>
                <w:sz w:val="20"/>
                <w:szCs w:val="20"/>
                <w:rFonts w:ascii="Cambria Math" w:hAnsi="Cambria Math" w:eastAsia="Cambria Math" w:cs="Cambria Math"/>
                <w:b w:val="0"/>
                <w:i w:val="0"/>
              </w:rPr>
              <m:t>h</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包含采样周期的影响。原稿预留的增量式</w:t>
      </w:r>
      <w:r>
        <w:rPr>
          <w:sz w:val="20"/>
          <w:szCs w:val="20"/>
        </w:rPr>
        <w:t xml:space="preserve"> PID </w:t>
      </w:r>
      <w:r>
        <w:rPr>
          <w:rFonts w:hint="eastAsia"/>
          <w:sz w:val="20"/>
          <w:szCs w:val="20"/>
        </w:rPr>
        <w:t xml:space="preserve">可作为这一增量调节接口的通用扩展；若采用离散</w:t>
      </w:r>
      <w:r>
        <w:rPr>
          <w:sz w:val="20"/>
          <w:szCs w:val="20"/>
        </w:rPr>
        <w:t xml:space="preserve"> </w:t>
      </w:r>
      <w:r>
        <w:rPr>
          <w:rFonts w:hint="eastAsia"/>
          <w:sz w:val="20"/>
          <w:szCs w:val="20"/>
        </w:rPr>
        <w:t xml:space="preserve">PID，其表达式为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num>
                      <m:den>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(19)</w:t>
            </w:r>
          </w:p>
        </w:tc>
      </w:tr>
    </w:tbl>
    <w:p>
      <w:pPr>
        <w:pStyle w:val="7"/>
        <w:snapToGrid w:val="0"/>
        <w:numPr>
          <w:numId w:val="0"/>
        </w:numPr>
        <w:rPr>
          <w:sz w:val="20"/>
        </w:rPr>
      </w:pPr>
      <w:r>
        <w:rPr>
          <w:rFonts w:hint="eastAsia"/>
          <w:sz w:val="20"/>
          <w:szCs w:val="20"/>
        </w:rPr>
        <w:t xml:space="preserve">这里</w:t>
      </w:r>
      <w:r>
        <w:rPr>
          <w:sz w:val="20"/>
          <w:szCs w:val="20"/>
        </w:rPr>
        <w:t xml:space="preserve"> </w:t>
      </w:r>
      <m:oMath>
        <m:sSub>
          <m:e>
            <m:r>
              <w:rPr>
                <w:sz w:val="20"/>
                <w:szCs w:val="20"/>
                <w:rFonts w:ascii="Cambria Math" w:hAnsi="Cambria Math" w:eastAsia="Cambria Math" w:cs="Cambria Math"/>
              </w:rPr>
              <m:t>T</m:t>
            </m:r>
          </m:e>
          <m:sub>
            <m:r>
              <m:rPr>
                <m:sty m:val="p"/>
              </m:rPr>
              <w:rPr>
                <w:sz w:val="20"/>
                <w:szCs w:val="20"/>
                <w:rFonts w:ascii="Cambria Math" w:hAnsi="Cambria Math" w:eastAsia="Cambria Math" w:cs="Cambria Math"/>
                <w:b w:val="0"/>
                <w:i w:val="0"/>
              </w:rPr>
              <m:t>s</m:t>
            </m:r>
          </m:sub>
        </m:sSub>
      </m:oMath>
      <w:r>
        <w:rPr>
          <w:sz w:val="20"/>
          <w:szCs w:val="20"/>
        </w:rPr>
        <w:t xml:space="preserve"> </w:t>
      </w:r>
      <w:r>
        <w:rPr>
          <w:rFonts w:hint="eastAsia"/>
          <w:sz w:val="20"/>
          <w:szCs w:val="20"/>
        </w:rPr>
        <w:t xml:space="preserve">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 xml:space="preserve">实现。</w:t>
      </w:r>
    </w:p>
    <w:p>
      <w:pPr>
        <w:pStyle w:val="7"/>
        <w:snapToGrid w:val="0"/>
        <w:numPr>
          <w:numId w:val="0"/>
        </w:numPr>
        <w:rPr>
          <w:sz w:val="20"/>
        </w:rPr>
      </w:pPr>
      <w:r>
        <w:rPr>
          <w:rFonts w:hint="eastAsia"/>
          <w:sz w:val="20"/>
          <w:szCs w:val="20"/>
        </w:rPr>
        <w:t xml:space="preserve">设名义轮心平面坐标为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rFonts w:hint="eastAsia"/>
          <w:sz w:val="20"/>
          <w:szCs w:val="20"/>
        </w:rPr>
        <w:t xml:space="preserve">，取四腿近似对称分布，前后、左右半间距分别为</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。在小姿态角和触点高度暂时固定的条件下，可将修正分配为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w:rPr>
                        <w:sz w:val="18"/>
                        <w:szCs w:val="18"/>
                        <w:rFonts w:ascii="Cambria Math" w:hAnsi="Cambria Math" w:eastAsia="Cambria Math" w:cs="Cambria Math"/>
                      </w:rPr>
                      <m:t>h</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d</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h</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y</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ϕ</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x</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θ</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(20)</w:t>
            </w:r>
          </w:p>
        </w:tc>
      </w:tr>
    </w:tbl>
    <w:p>
      <w:pPr>
        <w:pStyle w:val="7"/>
        <w:snapToGrid w:val="0"/>
        <w:numPr>
          <w:numId w:val="0"/>
        </w:numPr>
        <w:rPr>
          <w:sz w:val="20"/>
        </w:rPr>
      </w:pPr>
      <w:r>
        <w:rPr>
          <w:rFonts w:hint="eastAsia"/>
          <w:sz w:val="20"/>
          <w:szCs w:val="20"/>
        </w:rPr>
        <w:t xml:space="preserve">此处</w:t>
      </w:r>
      <w:r>
        <w:rPr>
          <w:sz w:val="20"/>
          <w:szCs w:val="20"/>
        </w:rPr>
        <w:t xml:space="preserve"> </w:t>
      </w:r>
      <m:oMath>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sz w:val="20"/>
          <w:szCs w:val="20"/>
        </w:rPr>
        <w:t xml:space="preserve"> </w:t>
      </w:r>
      <w:r>
        <w:rPr>
          <w:rFonts w:hint="eastAsia"/>
          <w:sz w:val="20"/>
          <w:szCs w:val="20"/>
        </w:rPr>
        <w:t xml:space="preserve">为向下的支撑高度，腿基系相应目标为</w:t>
      </w:r>
      <w:r>
        <w:rPr>
          <w:sz w:val="20"/>
          <w:szCs w:val="20"/>
        </w:rPr>
        <w:t xml:space="preserve"> </w:t>
      </w:r>
      <m:oMath>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pPr>
        <w:pStyle w:val="7"/>
        <w:snapToGrid w:val="0"/>
        <w:numPr>
          <w:numId w:val="0"/>
        </w:numPr>
        <w:rPr>
          <w:sz w:val="20"/>
        </w:rPr>
      </w:pPr>
      <w:r>
        <w:rPr>
          <w:rFonts w:hint="eastAsia"/>
          <w:sz w:val="20"/>
          <w:szCs w:val="20"/>
        </w:rPr>
        <w:t xml:space="preserve">离地检测使用电机反馈力矩估算腿平面内的轮端载荷。令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A</m:t>
            </m:r>
          </m:e>
          <m:sub>
            <m:r>
              <m:rPr>
                <m:sty m:val="p"/>
              </m:rPr>
              <w:rPr>
                <w:sz w:val="20"/>
                <w:szCs w:val="20"/>
                <w:rFonts w:ascii="Cambria Math" w:hAnsi="Cambria Math" w:eastAsia="Cambria Math" w:cs="Cambria Math"/>
                <w:b w:val="0"/>
                <w:i w:val="0"/>
              </w:rPr>
              <m:t>t</m:t>
            </m:r>
            <m:r>
              <m:rPr>
                <m:sty m:val="p"/>
              </m:rPr>
              <w:rPr>
                <w:sz w:val="20"/>
                <w:szCs w:val="20"/>
                <w:rFonts w:ascii="Cambria Math" w:hAnsi="Cambria Math" w:eastAsia="Cambria Math" w:cs="Cambria Math"/>
                <w:b w:val="0"/>
                <w:i w:val="0"/>
              </w:rPr>
              <m:t>r</m:t>
            </m:r>
          </m:sub>
          <m: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oMath>
      <w:r>
        <w:rPr>
          <w:rFonts w:hint="eastAsia"/>
          <w:sz w:val="20"/>
          <w:szCs w:val="20"/>
        </w:rPr>
        <w:t xml:space="preserve">，由虚功关系可得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acc>
                      <m:accPr>
                        <m:chr m:val="̂"/>
                      </m:accPr>
                      <m:e>
                        <m:r>
                          <m:rPr>
                            <m:sty m:val="bi"/>
                          </m:rPr>
                          <w:rPr>
                            <w:sz w:val="18"/>
                            <w:szCs w:val="18"/>
                            <w:rFonts w:ascii="Cambria Math" w:hAnsi="Cambria Math" w:eastAsia="Cambria Math" w:cs="Cambria Math"/>
                            <w:b w:val="1"/>
                            <w:i w:val="1"/>
                          </w:rPr>
                          <m:t>f</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sup>
                </m:sSup>
                <m:d>
                  <m:dPr>
                    <m:begChr m:val="("/>
                    <m:sepChr m:val=""/>
                    <m:endChr m:val=")"/>
                    <m:grow/>
                  </m:dP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(21)</w:t>
            </w:r>
          </w:p>
        </w:tc>
      </w:tr>
    </w:tbl>
    <w:p>
      <w:pPr>
        <w:pStyle w:val="7"/>
        <w:snapToGrid w:val="0"/>
        <w:numPr>
          <w:numId w:val="0"/>
        </w:numPr>
        <w:rPr>
          <w:sz w:val="20"/>
        </w:rPr>
      </w:pPr>
      <w:r>
        <w:rPr>
          <w:rFonts w:hint="eastAsia"/>
          <w:sz w:val="20"/>
          <w:szCs w:val="20"/>
        </w:rPr>
        <w:t xml:space="preserve">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28"/>
    <w:bookmarkEnd w:id="29"/>
    <w:bookmarkStart w:id="30" w:name="c.-机械臂逆运动学"/>
    <w:p>
      <w:pPr>
        <w:pStyle w:val="3"/>
        <w:snapToGrid w:val="0"/>
        <w:numPr>
          <w:numId w:val="0"/>
        </w:numPr>
      </w:pPr>
      <w:r>
        <w:t xml:space="preserve">C. </w:t>
      </w:r>
      <w:r>
        <w:rPr>
          <w:rFonts w:hint="eastAsia"/>
        </w:rPr>
        <w:t xml:space="preserve">机械臂逆运动学</w:t>
      </w:r>
    </w:p>
    <w:p>
      <w:pPr>
        <w:pStyle w:val="7"/>
        <w:snapToGrid w:val="0"/>
        <w:numPr>
          <w:numId w:val="0"/>
        </w:numPr>
        <w:rPr>
          <w:sz w:val="20"/>
        </w:rPr>
      </w:pPr>
      <w:r>
        <w:rPr>
          <w:rFonts w:hint="eastAsia"/>
          <w:sz w:val="20"/>
          <w:szCs w:val="20"/>
        </w:rPr>
        <w:t xml:space="preserve">六轴机械臂采用肘式臂与球腕结构，末三轴交于腕心，可将逆解分为前三轴定位和后三轴定姿</w:t>
      </w:r>
      <w:r>
        <w:rPr>
          <w:sz w:val="20"/>
          <w:szCs w:val="20"/>
        </w:rPr>
        <w:t xml:space="preserve"> </w:t>
      </w:r>
      <w:r>
        <w:rPr>
          <w:rFonts w:hint="eastAsia"/>
          <w:sz w:val="20"/>
          <w:szCs w:val="20"/>
        </w:rPr>
        <w:t xml:space="preserve">[4]。给定末端目标位置</w:t>
      </w:r>
      <w:r>
        <w:rPr>
          <w:sz w:val="20"/>
          <w:szCs w:val="20"/>
        </w:rPr>
        <w:t xml:space="preserve"> </w:t>
      </w:r>
      <m:oMath>
        <m:sSub>
          <m:e>
            <m:r>
              <m:rPr>
                <m:sty m:val="bi"/>
              </m:rPr>
              <w:rPr>
                <w:sz w:val="20"/>
                <w:szCs w:val="20"/>
                <w:rFonts w:ascii="Cambria Math" w:hAnsi="Cambria Math" w:eastAsia="Cambria Math" w:cs="Cambria Math"/>
                <w:b w:val="1"/>
                <w:i w:val="1"/>
              </w:rPr>
              <m:t>p</m:t>
            </m:r>
          </m:e>
          <m:sub>
            <m:r>
              <w:rPr>
                <w:sz w:val="20"/>
                <w:szCs w:val="20"/>
                <w:rFonts w:ascii="Cambria Math" w:hAnsi="Cambria Math" w:eastAsia="Cambria Math" w:cs="Cambria Math"/>
              </w:rPr>
              <m:t>06</m:t>
            </m:r>
          </m:sub>
        </m:sSub>
      </m:oMath>
      <w:r>
        <w:rPr>
          <w:sz w:val="20"/>
          <w:szCs w:val="20"/>
        </w:rPr>
        <w:t xml:space="preserve"> </w:t>
      </w:r>
      <w:r>
        <w:rPr>
          <w:rFonts w:hint="eastAsia"/>
          <w:sz w:val="20"/>
          <w:szCs w:val="20"/>
        </w:rPr>
        <w:t xml:space="preserve">和姿态</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06</m:t>
            </m:r>
          </m:sub>
        </m:sSub>
      </m:oMath>
      <w:r>
        <w:rPr>
          <w:rFonts w:hint="eastAsia"/>
          <w:sz w:val="20"/>
          <w:szCs w:val="20"/>
        </w:rPr>
        <w:t xml:space="preserve">，按照报告的工具坐标约定，腕心沿工具负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轴回退距离</w:t>
      </w:r>
      <w:r>
        <w:rPr>
          <w:sz w:val="20"/>
          <w:szCs w:val="20"/>
        </w:rPr>
        <w:t xml:space="preserve"> </w:t>
      </w:r>
      <m:oMath>
        <m:sSub>
          <m:e>
            <m:r>
              <w:rPr>
                <w:sz w:val="20"/>
                <w:szCs w:val="20"/>
                <w:rFonts w:ascii="Cambria Math" w:hAnsi="Cambria Math" w:eastAsia="Cambria Math" w:cs="Cambria Math"/>
              </w:rPr>
              <m:t>d</m:t>
            </m:r>
          </m:e>
          <m:sub>
            <m:r>
              <w:rPr>
                <w:sz w:val="20"/>
                <w:szCs w:val="20"/>
                <w:rFonts w:ascii="Cambria Math" w:hAnsi="Cambria Math" w:eastAsia="Cambria Math" w:cs="Cambria Math"/>
              </w:rPr>
              <m:t>6</m:t>
            </m:r>
          </m:sub>
        </m:sSub>
      </m:oMath>
      <w:r>
        <w:rPr>
          <w:rFonts w:hint="eastAsia"/>
          <w:sz w:val="20"/>
          <w:szCs w:val="20"/>
        </w:rPr>
        <w:t xml:space="preserve">：</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6</m:t>
                    </m:r>
                  </m:sub>
                </m:sSub>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(22)</w:t>
            </w:r>
          </w:p>
        </w:tc>
      </w:tr>
    </w:tbl>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6. </w:t>
      </w:r>
      <w:r>
        <w:rPr>
          <w:rFonts w:hint="eastAsia"/>
          <w:iCs/>
        </w:rPr>
        <w:t xml:space="preserve">六轴机械臂逆解的关节坐标系与腕心几何（留白，待补图）。</w:t>
      </w:r>
    </w:p>
    <w:p>
      <w:pPr>
        <w:pStyle w:val="7"/>
        <w:snapToGrid w:val="0"/>
        <w:numPr>
          <w:numId w:val="0"/>
        </w:numPr>
        <w:rPr>
          <w:sz w:val="20"/>
        </w:rPr>
      </w:pPr>
      <w:r>
        <w:rPr>
          <w:rFonts w:hint="eastAsia"/>
          <w:sz w:val="20"/>
          <w:szCs w:val="20"/>
        </w:rPr>
        <w:t xml:space="preserve">设腕心坐标为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oMath>
      <w:r>
        <w:rPr>
          <w:rFonts w:hint="eastAsia"/>
          <w:sz w:val="20"/>
          <w:szCs w:val="20"/>
        </w:rPr>
        <w:t xml:space="preserve">，径向距离为</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e>
        </m:rad>
      </m:oMath>
      <w:r>
        <w:rPr>
          <w:rFonts w:hint="eastAsia"/>
          <w:sz w:val="20"/>
          <w:szCs w:val="20"/>
        </w:rPr>
        <w:t xml:space="preserve">。沿用报告的连杆参数与零位，</w:t>
      </w:r>
      <m:oMath>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oMath>
      <w:r>
        <w:rPr>
          <w:sz w:val="20"/>
          <w:szCs w:val="20"/>
        </w:rPr>
        <w:t xml:space="preserve"> </w:t>
      </w:r>
      <w:r>
        <w:rPr>
          <w:rFonts w:hint="eastAsia"/>
          <w:sz w:val="20"/>
          <w:szCs w:val="20"/>
        </w:rPr>
        <w:t xml:space="preserve">为肩部径向和高度偏置，等效臂长为</w:t>
      </w:r>
      <w:r>
        <w:rPr>
          <w:sz w:val="20"/>
          <w:szCs w:val="20"/>
        </w:rPr>
        <w:t xml:space="preserve"> </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2</m:t>
            </m:r>
          </m:sub>
        </m:sSub>
      </m:oMath>
      <w:r>
        <w:rPr>
          <w:sz w:val="20"/>
          <w:szCs w:val="20"/>
        </w:rPr>
        <w:t xml:space="preserve">、</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a</m:t>
                </m:r>
              </m:e>
              <m:sub>
                <m:r>
                  <w:rPr>
                    <w:sz w:val="20"/>
                    <w:szCs w:val="20"/>
                    <w:rFonts w:ascii="Cambria Math" w:hAnsi="Cambria Math" w:eastAsia="Cambria Math" w:cs="Cambria Math"/>
                  </w:rPr>
                  <m:t>3</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d</m:t>
                </m:r>
              </m:e>
              <m:sub>
                <m:r>
                  <w:rPr>
                    <w:sz w:val="20"/>
                    <w:szCs w:val="20"/>
                    <w:rFonts w:ascii="Cambria Math" w:hAnsi="Cambria Math" w:eastAsia="Cambria Math" w:cs="Cambria Math"/>
                  </w:rPr>
                  <m:t>4</m:t>
                </m:r>
              </m:sub>
              <m:sup>
                <m:r>
                  <w:rPr>
                    <w:sz w:val="20"/>
                    <w:szCs w:val="20"/>
                    <w:rFonts w:ascii="Cambria Math" w:hAnsi="Cambria Math" w:eastAsia="Cambria Math" w:cs="Cambria Math"/>
                  </w:rPr>
                  <m:t>2</m:t>
                </m:r>
              </m:sup>
            </m:sSubSup>
          </m:e>
        </m:rad>
      </m:oMath>
      <w:r>
        <w:rPr>
          <w:rFonts w:hint="eastAsia"/>
          <w:sz w:val="20"/>
          <w:szCs w:val="20"/>
        </w:rPr>
        <w:t xml:space="preserve">，肘部偏角为</w:t>
      </w:r>
      <w:r>
        <w:rPr>
          <w:sz w:val="20"/>
          <w:szCs w:val="20"/>
        </w:rPr>
        <w:t xml:space="preserve"> </w:t>
      </w:r>
      <m:oMath>
        <m:sSub>
          <m:e>
            <m:r>
              <w:rPr>
                <w:sz w:val="20"/>
                <w:szCs w:val="20"/>
                <w:rFonts w:ascii="Cambria Math" w:hAnsi="Cambria Math" w:eastAsia="Cambria Math" w:cs="Cambria Math"/>
              </w:rPr>
              <m:t>δ</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atan2</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4</m:t>
            </m:r>
          </m:sub>
        </m:sSub>
        <m:r>
          <m:rPr>
            <m:sty m:val="p"/>
          </m:rPr>
          <w:rPr>
            <w:sz w:val="20"/>
            <w:szCs w:val="20"/>
            <w:rFonts w:ascii="Cambria Math" w:hAnsi="Cambria Math" w:eastAsia="Cambria Math" w:cs="Cambria Math"/>
            <w:b w:val="0"/>
            <w:i w:val="0"/>
          </w:rPr>
          <m:t>)</m:t>
        </m:r>
      </m:oMath>
      <w:r>
        <w:rPr>
          <w:rFonts w:hint="eastAsia"/>
          <w:sz w:val="20"/>
          <w:szCs w:val="20"/>
        </w:rPr>
        <w:t xml:space="preserve">。记肩腕距离</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ad>
          <m:radPr>
            <m:degHide m:val="on"/>
          </m:radPr>
          <m:deg/>
          <m:e>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sSup>
              <m:e>
                <m:r>
                  <m:rPr>
                    <m:sty m:val="p"/>
                  </m:rPr>
                  <w:rPr>
                    <w:sz w:val="20"/>
                    <w:szCs w:val="20"/>
                    <w:rFonts w:ascii="Cambria Math" w:hAnsi="Cambria Math" w:eastAsia="Cambria Math" w:cs="Cambria Math"/>
                    <w:b w:val="0"/>
                    <w:i w:val="0"/>
                  </w:rPr>
                  <m:t>)</m:t>
                </m:r>
              </m:e>
              <m:sup>
                <m:r>
                  <w:rPr>
                    <w:sz w:val="20"/>
                    <w:szCs w:val="20"/>
                    <w:rFonts w:ascii="Cambria Math" w:hAnsi="Cambria Math" w:eastAsia="Cambria Math" w:cs="Cambria Math"/>
                  </w:rPr>
                  <m:t>2</m:t>
                </m:r>
              </m:sup>
            </m:s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sSup>
              <m:e>
                <m:r>
                  <m:rPr>
                    <m:sty m:val="p"/>
                  </m:rPr>
                  <w:rPr>
                    <w:sz w:val="20"/>
                    <w:szCs w:val="20"/>
                    <w:rFonts w:ascii="Cambria Math" w:hAnsi="Cambria Math" w:eastAsia="Cambria Math" w:cs="Cambria Math"/>
                    <w:b w:val="0"/>
                    <w:i w:val="0"/>
                  </w:rPr>
                  <m:t>)</m:t>
                </m:r>
              </m:e>
              <m:sup>
                <m:r>
                  <w:rPr>
                    <w:sz w:val="20"/>
                    <w:szCs w:val="20"/>
                    <w:rFonts w:ascii="Cambria Math" w:hAnsi="Cambria Math" w:eastAsia="Cambria Math" w:cs="Cambria Math"/>
                  </w:rPr>
                  <m:t>2</m:t>
                </m:r>
              </m:sup>
            </m:sSup>
          </m:e>
        </m:rad>
      </m:oMath>
      <w:r>
        <w:rPr>
          <w:rFonts w:hint="eastAsia"/>
          <w:sz w:val="20"/>
          <w:szCs w:val="20"/>
        </w:rPr>
        <w:t xml:space="preserve">、方向角</w:t>
      </w:r>
      <w:r>
        <w:rPr>
          <w:sz w:val="20"/>
          <w:szCs w:val="20"/>
        </w:rPr>
        <w:t xml:space="preserve"> </w:t>
      </w:r>
      <m:oMath>
        <m:sSub>
          <m:e>
            <m:r>
              <w:rPr>
                <w:sz w:val="20"/>
                <w:szCs w:val="20"/>
                <w:rFonts w:ascii="Cambria Math" w:hAnsi="Cambria Math" w:eastAsia="Cambria Math" w:cs="Cambria Math"/>
              </w:rPr>
              <m:t>γ</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atan2</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oMath>
      <w:r>
        <w:rPr>
          <w:rFonts w:hint="eastAsia"/>
          <w:sz w:val="20"/>
          <w:szCs w:val="20"/>
        </w:rPr>
        <w:t xml:space="preserve">，由平面三角形余弦定理，正向高臂分支为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π</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δ</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(23)</w:t>
            </w:r>
          </w:p>
        </w:tc>
      </w:tr>
    </w:tbl>
    <w:p>
      <w:pPr>
        <w:pStyle w:val="7"/>
        <w:snapToGrid w:val="0"/>
        <w:numPr>
          <w:numId w:val="0"/>
        </w:numPr>
        <w:rPr>
          <w:sz w:val="20"/>
        </w:rPr>
      </w:pPr>
      <w:r>
        <w:rPr>
          <w:rFonts w:hint="eastAsia"/>
          <w:sz w:val="20"/>
          <w:szCs w:val="20"/>
        </w:rPr>
        <w:t xml:space="preserve">前三轴确定旋转矩阵</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03</m:t>
            </m:r>
          </m:sub>
        </m:sSub>
      </m:oMath>
      <w:r>
        <w:rPr>
          <w:sz w:val="20"/>
          <w:szCs w:val="20"/>
        </w:rPr>
        <w:t xml:space="preserve"> </w:t>
      </w:r>
      <w:r>
        <w:rPr>
          <w:rFonts w:hint="eastAsia"/>
          <w:sz w:val="20"/>
          <w:szCs w:val="20"/>
        </w:rPr>
        <w:t xml:space="preserve">后，由</w:t>
      </w:r>
      <w:r>
        <w:rPr>
          <w:sz w:val="20"/>
          <w:szCs w:val="20"/>
        </w:rPr>
        <w:t xml:space="preserve"> </w:t>
      </w:r>
      <m:oMath>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06</m:t>
            </m:r>
          </m:sub>
        </m:sSub>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03</m:t>
            </m:r>
          </m:sub>
        </m:sSub>
        <m:sSub>
          <m:e>
            <m:r>
              <m:rPr>
                <m:sty m:val="b"/>
              </m:rPr>
              <w:rPr>
                <w:sz w:val="20"/>
                <w:szCs w:val="20"/>
                <w:rFonts w:ascii="Cambria Math" w:hAnsi="Cambria Math" w:eastAsia="Cambria Math" w:cs="Cambria Math"/>
                <w:b w:val="1"/>
                <w:i w:val="0"/>
              </w:rPr>
              <m:t>R</m:t>
            </m:r>
          </m:e>
          <m:sub>
            <m:r>
              <w:rPr>
                <w:sz w:val="20"/>
                <w:szCs w:val="20"/>
                <w:rFonts w:ascii="Cambria Math" w:hAnsi="Cambria Math" w:eastAsia="Cambria Math" w:cs="Cambria Math"/>
              </w:rPr>
              <m:t>36</m:t>
            </m:r>
          </m:sub>
        </m:sSub>
      </m:oMath>
      <w:r>
        <w:rPr>
          <w:sz w:val="20"/>
          <w:szCs w:val="20"/>
        </w:rPr>
        <w:t xml:space="preserve"> </w:t>
      </w:r>
      <w:r>
        <w:rPr>
          <w:rFonts w:hint="eastAsia"/>
          <w:sz w:val="20"/>
          <w:szCs w:val="20"/>
        </w:rPr>
        <w:t xml:space="preserve">得球腕相对姿态</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36</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03</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n</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o</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(24)</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w:rPr>
                <w:sz w:val="20"/>
                <w:szCs w:val="20"/>
                <w:rFonts w:ascii="Cambria Math" w:hAnsi="Cambria Math" w:eastAsia="Cambria Math" w:cs="Cambria Math"/>
              </w:rPr>
              <m:t>n</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z</m:t>
            </m:r>
          </m:sub>
        </m:sSub>
      </m:oMath>
      <w:r>
        <w:rPr>
          <w:sz w:val="20"/>
          <w:szCs w:val="20"/>
        </w:rPr>
        <w:t xml:space="preserve"> </w:t>
      </w:r>
      <w:r>
        <w:rPr>
          <w:rFonts w:hint="eastAsia"/>
          <w:sz w:val="20"/>
          <w:szCs w:val="20"/>
        </w:rPr>
        <w:t xml:space="preserve">为各列矢量的相应分量，腕部关节角满足</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θ</m:t>
            </m:r>
          </m:e>
          <m:sub>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rFonts w:hint="eastAsia"/>
          <w:sz w:val="20"/>
          <w:szCs w:val="20"/>
        </w:rPr>
        <w:t xml:space="preserve">，</w:t>
      </w:r>
      <m:oMath>
        <m:r>
          <w:rPr>
            <w:sz w:val="20"/>
            <w:szCs w:val="20"/>
            <w:rFonts w:ascii="Cambria Math" w:hAnsi="Cambria Math" w:eastAsia="Cambria Math" w:cs="Cambria Math"/>
          </w:rPr>
          <m:t>j</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5</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6</m:t>
        </m:r>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为零位偏置。按报告的球腕坐标约定，在</w:t>
      </w:r>
      <w:r>
        <w:rPr>
          <w:sz w:val="20"/>
          <w:szCs w:val="20"/>
        </w:rPr>
        <w:t xml:space="preserve"> </w:t>
      </w:r>
      <m:oMath>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θ</m:t>
            </m:r>
          </m:e>
          <m:sub>
            <m:r>
              <w:rPr>
                <w:sz w:val="20"/>
                <w:szCs w:val="20"/>
                <w:rFonts w:ascii="Cambria Math" w:hAnsi="Cambria Math" w:eastAsia="Cambria Math" w:cs="Cambria Math"/>
              </w:rPr>
              <m:t>5</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时，匹配旋转矩阵元素可得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θ</m:t>
                        </m:r>
                      </m:e>
                      <m:sub>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θ</m:t>
                        </m:r>
                      </m:e>
                      <m:sub>
                        <m:r>
                          <w:rPr>
                            <w:sz w:val="18"/>
                            <w:szCs w:val="18"/>
                            <w:rFonts w:ascii="Cambria Math" w:hAnsi="Cambria Math" w:eastAsia="Cambria Math" w:cs="Cambria Math"/>
                          </w:rPr>
                          <m:t>6</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n</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(25)</w:t>
            </w:r>
          </w:p>
        </w:tc>
      </w:tr>
    </w:tbl>
    <w:p>
      <w:pPr>
        <w:pStyle w:val="7"/>
        <w:snapToGrid w:val="0"/>
        <w:numPr>
          <w:numId w:val="0"/>
        </w:numPr>
        <w:rPr>
          <w:sz w:val="20"/>
        </w:rPr>
      </w:pPr>
      <w:r>
        <w:rPr>
          <w:rFonts w:hint="eastAsia"/>
          <w:sz w:val="20"/>
          <w:szCs w:val="20"/>
        </w:rPr>
        <w:t xml:space="preserve">对候选解进行位姿回代及关节限位检查，选择与上一时刻关节角最接近的可行分支；不可达目标或奇异位形不直接使用上述逆解。</w:t>
      </w:r>
    </w:p>
    <w:bookmarkEnd w:id="30"/>
    <w:bookmarkStart w:id="34" w:name="d.-delta-遥操作控制器"/>
    <w:p>
      <w:pPr>
        <w:pStyle w:val="3"/>
        <w:snapToGrid w:val="0"/>
        <w:numPr>
          <w:numId w:val="0"/>
        </w:numPr>
      </w:pPr>
      <w:r>
        <w:t xml:space="preserve">D. Delta </w:t>
      </w:r>
      <w:r>
        <w:rPr>
          <w:rFonts w:hint="eastAsia"/>
        </w:rPr>
        <w:t xml:space="preserve">遥操作控制器</w:t>
      </w:r>
    </w:p>
    <w:bookmarkStart w:id="31" w:name="构型与正运动学"/>
    <w:p>
      <w:pPr>
        <w:pStyle w:val="4"/>
        <w:snapToGrid w:val="0"/>
        <w:numPr>
          <w:numId w:val="0"/>
        </w:numPr>
      </w:pPr>
      <w:r>
        <w:t xml:space="preserve">1) </w:t>
      </w:r>
      <w:r>
        <w:rPr>
          <w:rFonts w:hint="eastAsia"/>
        </w:rPr>
        <w:t xml:space="preserve">构型与正运动学</w:t>
      </w:r>
    </w:p>
    <w:p>
      <w:pPr>
        <w:pStyle w:val="7"/>
        <w:snapToGrid w:val="0"/>
        <w:numPr>
          <w:numId w:val="0"/>
        </w:numPr>
        <w:rPr>
          <w:sz w:val="20"/>
        </w:rPr>
      </w:pPr>
      <w:r>
        <w:rPr>
          <w:rFonts w:hint="eastAsia"/>
          <w:sz w:val="20"/>
          <w:szCs w:val="20"/>
        </w:rPr>
        <w:t xml:space="preserve">主端采用三支链</w:t>
      </w:r>
      <w:r>
        <w:rPr>
          <w:sz w:val="20"/>
          <w:szCs w:val="20"/>
        </w:rPr>
        <w:t xml:space="preserve"> Delta </w:t>
      </w:r>
      <w:r>
        <w:rPr>
          <w:rFonts w:hint="eastAsia"/>
          <w:sz w:val="20"/>
          <w:szCs w:val="20"/>
        </w:rPr>
        <w:t xml:space="preserve">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 xml:space="preserve">预留几何模型和手柄结构，几何参数列于</w:t>
      </w:r>
      <w:r>
        <w:rPr>
          <w:sz w:val="20"/>
          <w:szCs w:val="20"/>
        </w:rPr>
        <w:t xml:space="preserve"> TABLE II。</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7. Delta </w:t>
      </w:r>
      <w:r>
        <w:rPr>
          <w:rFonts w:hint="eastAsia"/>
          <w:iCs/>
        </w:rPr>
        <w:t xml:space="preserve">三支链几何、动平台及三编码器姿态手柄（留白，待补图）。</w:t>
      </w:r>
    </w:p>
    <w:p>
      <w:pPr>
        <w:pStyle w:val="7"/>
        <w:snapToGrid w:val="0"/>
        <w:numPr>
          <w:numId w:val="0"/>
        </w:numPr>
        <w:rPr>
          <w:sz w:val="20"/>
        </w:rPr>
      </w:pPr>
      <w:r>
        <w:rPr>
          <w:rFonts w:hint="eastAsia"/>
          <w:sz w:val="20"/>
          <w:szCs w:val="20"/>
        </w:rPr>
        <w:t xml:space="preserve">静平台坐标系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轴向上，工作侧为</w:t>
      </w:r>
      <w:r>
        <w:rPr>
          <w:sz w:val="20"/>
          <w:szCs w:val="20"/>
        </w:rPr>
        <w:t xml:space="preserve"> </w:t>
      </w:r>
      <m:oMath>
        <m:r>
          <w:rPr>
            <w:sz w:val="20"/>
            <w:szCs w:val="20"/>
            <w:rFonts w:ascii="Cambria Math" w:hAnsi="Cambria Math" w:eastAsia="Cambria Math" w:cs="Cambria Math"/>
          </w:rPr>
          <m:t>z</m:t>
        </m:r>
        <m:r>
          <m:rPr>
            <m:sty m:val="p"/>
          </m:rPr>
          <w:rPr>
            <w:sz w:val="20"/>
            <w:szCs w:val="20"/>
            <w:rFonts w:ascii="Cambria Math" w:hAnsi="Cambria Math" w:eastAsia="Cambria Math" w:cs="Cambria Math"/>
            <w:b w:val="0"/>
            <w:i w:val="0"/>
          </w:rPr>
          <m:t>&lt;</m:t>
        </m:r>
        <m:r>
          <w:rPr>
            <w:sz w:val="20"/>
            <w:szCs w:val="20"/>
            <w:rFonts w:ascii="Cambria Math" w:hAnsi="Cambria Math" w:eastAsia="Cambria Math" w:cs="Cambria Math"/>
          </w:rPr>
          <m:t>0</m:t>
        </m:r>
      </m:oMath>
      <w:r>
        <w:rPr>
          <w:rFonts w:hint="eastAsia"/>
          <w:sz w:val="20"/>
          <w:szCs w:val="20"/>
        </w:rPr>
        <w:t xml:space="preserve">。静、动平台连接点分布圆半径分别记为</w:t>
      </w:r>
      <w:r>
        <w:rPr>
          <w:sz w:val="20"/>
          <w:szCs w:val="20"/>
        </w:rPr>
        <w:t xml:space="preserve"> </w:t>
      </w:r>
      <m:oMath>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oMath>
      <w:r>
        <w:rPr>
          <w:rFonts w:hint="eastAsia"/>
          <w:sz w:val="20"/>
          <w:szCs w:val="20"/>
        </w:rPr>
        <w:t xml:space="preserve">，主动臂和从动臂长度为</w:t>
      </w:r>
      <w:r>
        <w:rPr>
          <w:sz w:val="20"/>
          <w:szCs w:val="20"/>
        </w:rPr>
        <w:t xml:space="preserve"> </w:t>
      </w:r>
      <m:oMath>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P</m:t>
            </m:r>
          </m:sub>
        </m:sSub>
      </m:oMath>
      <w:r>
        <w:rPr>
          <w:rFonts w:hint="eastAsia"/>
          <w:sz w:val="20"/>
          <w:szCs w:val="20"/>
        </w:rPr>
        <w:t xml:space="preserve">。三支链方位角为</w:t>
      </w:r>
      <w:r>
        <w:rPr>
          <w:sz w:val="20"/>
          <w:szCs w:val="20"/>
        </w:rPr>
        <w:t xml:space="preserve"> </w:t>
      </w:r>
      <m:oMath>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oMath>
      <w:r>
        <w:rPr>
          <w:rFonts w:hint="eastAsia"/>
          <w:sz w:val="20"/>
          <w:szCs w:val="20"/>
        </w:rPr>
        <w:t xml:space="preserve">，径向单位矢量为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。主动臂角</w:t>
      </w:r>
      <w:r>
        <w:rPr>
          <w:sz w:val="20"/>
          <w:szCs w:val="20"/>
        </w:rPr>
        <w:t xml:space="preserve"> </w:t>
      </w:r>
      <m:oMath>
        <m:sSub>
          <m:e>
            <m:r>
              <w:rPr>
                <w:sz w:val="20"/>
                <w:szCs w:val="20"/>
                <w:rFonts w:ascii="Cambria Math" w:hAnsi="Cambria Math" w:eastAsia="Cambria Math" w:cs="Cambria Math"/>
              </w:rPr>
              <m:t>θ</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从水平向外方向起算，朝负</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工作侧转动为正。</w:t>
      </w:r>
    </w:p>
    <w:p>
      <w:pPr>
        <w:pStyle w:val="28"/>
        <w:snapToGrid w:val="0"/>
        <w:numPr>
          <w:numId w:val="0"/>
        </w:numPr>
        <w:keepNext/>
      </w:pPr>
      <w:r>
        <w:rPr>
          <w:bCs/>
        </w:rPr>
        <w:t xml:space="preserve">TABLE II. Delta </w:t>
      </w:r>
      <w:r>
        <w:rPr>
          <w:rFonts w:hint="eastAsia"/>
          <w:bCs/>
        </w:rPr>
        <w:t xml:space="preserve">主端几何参数（来自机械设计资料</w:t>
      </w:r>
      <w:r>
        <w:rPr>
          <w:bCs/>
        </w:rPr>
        <w:t xml:space="preserve"> </w:t>
      </w:r>
      <w:r>
        <w:rPr>
          <w:rFonts w:hint="eastAsia"/>
          <w:bCs/>
        </w:rPr>
        <w:t xml:space="preserve">[5]）</w:t>
      </w:r>
    </w:p>
    <w:tbl>
      <w:tblPr>
        <w:tblStyle w:val="Table"/>
        <w:tblW w:type="dxa" w:w="4866"/>
        <w:tblLook w:firstRow="1" w:lastRow="0" w:firstColumn="0" w:lastColumn="0" w:noHBand="0" w:noVBand="0" w:val="0020"/>
        <w:tblLayout w:type="fixed"/>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含义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0.095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静平台连接点分布圆半径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0.066</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动平台连接点分布圆半径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0.150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主动臂中心距</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P</m:t>
                  </m:r>
                </m:sub>
              </m:sSub>
            </m:oMath>
          </w:p>
        </w:tc>
        <w:tc>
          <w:tcPr>
            <w:tcW w:w="1622" w:type="dxa"/>
          </w:tcPr>
          <w:p>
            <w:pPr>
              <w:pStyle w:val="26"/>
              <w:snapToGrid w:val="0"/>
              <w:numPr>
                <w:numId w:val="0"/>
              </w:numPr>
              <w:rPr>
                <w:sz w:val="16"/>
              </w:rPr>
              <w:spacing w:before="0" w:after="0" w:line="240" w:lineRule="auto"/>
              <w:keepNext w:val="0"/>
            </w:pPr>
            <m:oMath>
              <m:r>
                <w:rPr>
                  <w:sz w:val="16"/>
                  <w:szCs w:val="16"/>
                  <w:rFonts w:ascii="Cambria Math" w:hAnsi="Cambria Math" w:eastAsia="Cambria Math" w:cs="Cambria Math"/>
                </w:rPr>
                <m:t>0.200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从动臂中心距</w:t>
            </w:r>
          </w:p>
        </w:tc>
        <w:trPr>
          <w:cantSplit/>
        </w:trPr>
      </w:tr>
    </w:tbl>
    <w:p>
      <w:pPr>
        <w:pStyle w:val="7"/>
        <w:snapToGrid w:val="0"/>
        <w:numPr>
          <w:numId w:val="0"/>
        </w:numPr>
        <w:rPr>
          <w:sz w:val="20"/>
        </w:rPr>
      </w:pPr>
      <w:r>
        <w:rPr>
          <w:rFonts w:hint="eastAsia"/>
          <w:sz w:val="20"/>
          <w:szCs w:val="20"/>
        </w:rPr>
        <w:t xml:space="preserve">设动平台中心为</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，将动平台半径移入支链几何后，等效球心为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(26)</w:t>
            </w:r>
          </w:p>
        </w:tc>
      </w:tr>
    </w:tbl>
    <w:p>
      <w:pPr>
        <w:pStyle w:val="7"/>
        <w:snapToGrid w:val="0"/>
        <w:numPr>
          <w:numId w:val="0"/>
        </w:numPr>
        <w:rPr>
          <w:sz w:val="20"/>
        </w:rPr>
      </w:pPr>
      <w:r>
        <w:rPr>
          <w:rFonts w:hint="eastAsia"/>
          <w:sz w:val="20"/>
          <w:szCs w:val="20"/>
        </w:rPr>
        <w:t xml:space="preserve">从动臂等长约束给出三球交点方程</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(27)</w:t>
            </w:r>
          </w:p>
        </w:tc>
      </w:tr>
    </w:tbl>
    <w:p>
      <w:pPr>
        <w:pStyle w:val="7"/>
        <w:snapToGrid w:val="0"/>
        <w:numPr>
          <w:numId w:val="0"/>
        </w:numPr>
        <w:rPr>
          <w:sz w:val="20"/>
        </w:rPr>
      </w:pPr>
      <w:r>
        <w:rPr>
          <w:rFonts w:hint="eastAsia"/>
          <w:sz w:val="20"/>
          <w:szCs w:val="20"/>
        </w:rPr>
        <w:t xml:space="preserve">第</w:t>
      </w:r>
      <w:r>
        <w:rPr>
          <w:sz w:val="20"/>
          <w:szCs w:val="20"/>
        </w:rPr>
        <w:t xml:space="preserve"> 2、3 </w:t>
      </w:r>
      <w:r>
        <w:rPr>
          <w:rFonts w:hint="eastAsia"/>
          <w:sz w:val="20"/>
          <w:szCs w:val="20"/>
        </w:rPr>
        <w:t xml:space="preserve">个方程分别减去第</w:t>
      </w:r>
      <w:r>
        <w:rPr>
          <w:sz w:val="20"/>
          <w:szCs w:val="20"/>
        </w:rPr>
        <w:t xml:space="preserve"> 1 </w:t>
      </w:r>
      <w:r>
        <w:rPr>
          <w:rFonts w:hint="eastAsia"/>
          <w:sz w:val="20"/>
          <w:szCs w:val="20"/>
        </w:rPr>
        <w:t xml:space="preserve">个方程，可消除二次项，得到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(28)</w:t>
            </w:r>
          </w:p>
        </w:tc>
      </w:tr>
    </w:tbl>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z</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r>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2</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3</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(29)</w:t>
            </w:r>
          </w:p>
        </w:tc>
      </w:tr>
    </w:tbl>
    <w:p>
      <w:pPr>
        <w:pStyle w:val="7"/>
        <w:snapToGrid w:val="0"/>
        <w:numPr>
          <w:numId w:val="0"/>
        </w:numPr>
        <w:rPr>
          <w:sz w:val="20"/>
        </w:rPr>
      </w:pPr>
      <w:r>
        <w:rPr>
          <w:rFonts w:hint="eastAsia"/>
          <w:sz w:val="20"/>
          <w:szCs w:val="20"/>
        </w:rPr>
        <w:t xml:space="preserve">在</w:t>
      </w:r>
      <w:r>
        <w:rPr>
          <w:sz w:val="20"/>
          <w:szCs w:val="20"/>
        </w:rPr>
        <w:t xml:space="preserve"> </w:t>
      </w:r>
      <m:oMath>
        <m:sSub>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可逆时，令</w:t>
      </w:r>
      <w:r>
        <w:rPr>
          <w:sz w:val="20"/>
          <w:szCs w:val="20"/>
        </w:rPr>
        <w:t xml:space="preserve"> </w:t>
      </w:r>
      <m:oMath>
        <m:r>
          <m:rPr>
            <m:sty m:val="bi"/>
          </m:rPr>
          <w:rPr>
            <w:sz w:val="20"/>
            <w:szCs w:val="20"/>
            <w:rFonts w:ascii="Cambria Math" w:hAnsi="Cambria Math" w:eastAsia="Cambria Math" w:cs="Cambria Math"/>
            <w:b w:val="1"/>
            <w:i w:val="1"/>
          </w:rPr>
          <m:t>u</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d</m:t>
            </m:r>
          </m:e>
          <m:sub>
            <m:r>
              <m:rPr>
                <m:sty m:val="p"/>
              </m:rPr>
              <w:rPr>
                <w:sz w:val="20"/>
                <w:szCs w:val="20"/>
                <w:rFonts w:ascii="Cambria Math" w:hAnsi="Cambria Math" w:eastAsia="Cambria Math" w:cs="Cambria Math"/>
                <w:b w:val="0"/>
                <w:i w:val="0"/>
              </w:rPr>
              <m:t>D</m:t>
            </m:r>
          </m:sub>
        </m:sSub>
      </m:oMath>
      <w:r>
        <w:rPr>
          <w:sz w:val="20"/>
          <w:szCs w:val="20"/>
        </w:rPr>
        <w:t xml:space="preserve">、</w:t>
      </w:r>
      <m:oMath>
        <m:r>
          <m:rPr>
            <m:sty m:val="bi"/>
          </m:rPr>
          <w:rPr>
            <w:sz w:val="20"/>
            <w:szCs w:val="20"/>
            <w:rFonts w:ascii="Cambria Math" w:hAnsi="Cambria Math" w:eastAsia="Cambria Math" w:cs="Cambria Math"/>
            <w:b w:val="1"/>
            <w:i w:val="1"/>
          </w:rPr>
          <m:t>v</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D</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D</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v</m:t>
                </m:r>
                <m:sSub>
                  <m:e>
                    <m:r>
                      <w:rPr>
                        <w:sz w:val="18"/>
                        <w:szCs w:val="18"/>
                        <w:rFonts w:ascii="Cambria Math" w:hAnsi="Cambria Math" w:eastAsia="Cambria Math" w:cs="Cambria Math"/>
                      </w:rPr>
                      <m:t>z</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(30)</w:t>
            </w:r>
          </w:p>
        </w:tc>
      </w:tr>
    </w:tbl>
    <w:p>
      <w:pPr>
        <w:pStyle w:val="7"/>
        <w:snapToGrid w:val="0"/>
        <w:numPr>
          <w:numId w:val="0"/>
        </w:numPr>
        <w:rPr>
          <w:sz w:val="20"/>
        </w:rPr>
      </w:pPr>
      <w:r>
        <w:rPr>
          <w:rFonts w:hint="eastAsia"/>
          <w:sz w:val="20"/>
          <w:szCs w:val="20"/>
        </w:rPr>
        <w:t xml:space="preserve">代回第一球面，得到</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D</m:t>
            </m:r>
          </m:sub>
        </m:sSub>
        <m:sSubSup>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D</m:t>
            </m:r>
          </m:sub>
        </m:sSub>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rFonts w:hint="eastAsia"/>
          <w:sz w:val="20"/>
          <w:szCs w:val="20"/>
        </w:rPr>
        <w:t xml:space="preserve">，其中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bi"/>
                      </m:rPr>
                      <w:rPr>
                        <w:sz w:val="18"/>
                        <w:szCs w:val="18"/>
                        <w:rFonts w:ascii="Cambria Math" w:hAnsi="Cambria Math" w:eastAsia="Cambria Math" w:cs="Cambria Math"/>
                        <w:b w:val="1"/>
                        <w:i w:val="1"/>
                      </w:rPr>
                      <m:t>v</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C</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(31)</w:t>
            </w:r>
          </w:p>
        </w:tc>
      </w:tr>
    </w:tbl>
    <w:p>
      <w:pPr>
        <w:pStyle w:val="7"/>
        <w:snapToGrid w:val="0"/>
        <w:numPr>
          <w:numId w:val="0"/>
        </w:numPr>
        <w:rPr>
          <w:sz w:val="20"/>
        </w:rPr>
      </w:pPr>
      <w:r>
        <w:rPr>
          <w:rFonts w:hint="eastAsia"/>
          <w:sz w:val="20"/>
          <w:szCs w:val="20"/>
        </w:rPr>
        <w:t xml:space="preserve">从二次方程候选根中选择满足工作侧、机构装配分支和连续性条件的根。矩阵退化或判别式显著小于零时不输出新位姿；不能仅以“负根”替代完整的几何有效性检查。</w:t>
      </w:r>
    </w:p>
    <w:bookmarkEnd w:id="31"/>
    <w:bookmarkStart w:id="32" w:name="雅可比与力矩前馈"/>
    <w:p>
      <w:pPr>
        <w:pStyle w:val="4"/>
        <w:snapToGrid w:val="0"/>
        <w:numPr>
          <w:numId w:val="0"/>
        </w:numPr>
      </w:pPr>
      <w:r>
        <w:t xml:space="preserve">2) </w:t>
      </w:r>
      <w:r>
        <w:rPr>
          <w:rFonts w:hint="eastAsia"/>
        </w:rPr>
        <w:t xml:space="preserve">雅可比与力矩前馈</w:t>
      </w:r>
    </w:p>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s</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oMath>
      <w:r>
        <w:rPr>
          <w:rFonts w:hint="eastAsia"/>
          <w:sz w:val="20"/>
          <w:szCs w:val="20"/>
        </w:rPr>
        <w:t xml:space="preserve">。对支链约束求导，定义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2</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3</m:t>
                                  </m:r>
                                </m:sub>
                                <m:sup>
                                  <m:r>
                                    <m:rPr>
                                      <m:sty m:val="p"/>
                                    </m:rPr>
                                    <w:rPr>
                                      <w:sz w:val="18"/>
                                      <w:szCs w:val="18"/>
                                      <w:rFonts w:ascii="Cambria Math" w:hAnsi="Cambria Math" w:eastAsia="Cambria Math" w:cs="Cambria Math"/>
                                      <w:b w:val="0"/>
                                      <w:i w:val="0"/>
                                    </w:rPr>
                                    <m:t>T</m:t>
                                  </m:r>
                                </m:sup>
                              </m:sSubSup>
                            </m:e>
                          </m:mr>
                        </m:m>
                      </m:e>
                    </m:d>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diag</m:t>
                    </m:r>
                    <m:r>
                      <w:rPr>
                        <w:sz w:val="18"/>
                        <w:szCs w:val="18"/>
                        <w:rFonts w:ascii="Cambria Math" w:hAnsi="Cambria Math" w:eastAsia="Cambria Math" w:cs="Cambria Math"/>
                      </w:rPr>
                      <m:t>​</m:t>
                    </m:r>
                    <m:sSubSup>
                      <m:e>
                        <m:d>
                          <m:dPr>
                            <m:begChr m:val="("/>
                            <m:sepChr m:val=""/>
                            <m:endChr m:val=")"/>
                            <m:grow/>
                          </m:dP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f>
                              <m:fPr>
                                <m:type m:val="bar"/>
                              </m:fPr>
                              <m:num>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num>
                              <m:den>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den>
                            </m:f>
                          </m:e>
                        </m:d>
                      </m:e>
                      <m:sub>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3</m:t>
                        </m:r>
                      </m:sup>
                    </m:sSubSup>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bSup>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acc>
                          <m:accPr>
                            <m:chr m:val="̇"/>
                          </m:accPr>
                          <m:e>
                            <m:r>
                              <m:rPr>
                                <m:sty m:val="bi"/>
                              </m:rPr>
                              <w:rPr>
                                <w:sz w:val="18"/>
                                <w:szCs w:val="18"/>
                                <w:rFonts w:ascii="Cambria Math" w:hAnsi="Cambria Math" w:eastAsia="Cambria Math" w:cs="Cambria Math"/>
                                <w:b w:val="1"/>
                                <w:i w:val="1"/>
                              </w:rPr>
                              <m:t>p</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sSub>
                      <m:e>
                        <m:acc>
                          <m:accPr>
                            <m:chr m:val="̇"/>
                          </m:accPr>
                          <m:e>
                            <m:r>
                              <m:rPr>
                                <m:sty m:val="bi"/>
                              </m:rPr>
                              <w:rPr>
                                <w:sz w:val="18"/>
                                <w:szCs w:val="18"/>
                                <w:rFonts w:ascii="Cambria Math" w:hAnsi="Cambria Math" w:eastAsia="Cambria Math" w:cs="Cambria Math"/>
                                <w:b w:val="1"/>
                                <w:i w:val="1"/>
                              </w:rPr>
                              <m:t>θ</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(32)</w:t>
            </w:r>
          </w:p>
        </w:tc>
      </w:tr>
    </w:tbl>
    <w:p>
      <w:pPr>
        <w:pStyle w:val="7"/>
        <w:snapToGrid w:val="0"/>
        <w:numPr>
          <w:numId w:val="0"/>
        </w:numPr>
        <w:rPr>
          <w:sz w:val="20"/>
        </w:rPr>
      </w:pPr>
      <w:r>
        <w:rPr>
          <w:rFonts w:hint="eastAsia"/>
          <w:sz w:val="20"/>
          <w:szCs w:val="20"/>
        </w:rPr>
        <w:t xml:space="preserve">此表达式要求</w:t>
      </w:r>
      <w:r>
        <w:rPr>
          <w:sz w:val="20"/>
          <w:szCs w:val="20"/>
        </w:rPr>
        <w:t xml:space="preserve"> </w:t>
      </w:r>
      <m:oMath>
        <m:sSub>
          <m:e>
            <m:r>
              <m:rPr>
                <m:sty m:val="b"/>
              </m:rPr>
              <w:rPr>
                <w:sz w:val="20"/>
                <w:szCs w:val="20"/>
                <w:rFonts w:ascii="Cambria Math" w:hAnsi="Cambria Math" w:eastAsia="Cambria Math" w:cs="Cambria Math"/>
                <w:b w:val="1"/>
                <w:i w:val="0"/>
              </w:rPr>
              <m:t>S</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可逆。静力学采用虚功原理：若机构对动平台提供的期望支撑力为</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oMath>
      <w:r>
        <w:rPr>
          <w:rFonts w:hint="eastAsia"/>
          <w:sz w:val="20"/>
          <w:szCs w:val="20"/>
        </w:rPr>
        <w:t xml:space="preserve">，对应电机广义力矩为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(33)</w:t>
            </w:r>
          </w:p>
        </w:tc>
      </w:tr>
    </w:tbl>
    <w:p>
      <w:pPr>
        <w:pStyle w:val="7"/>
        <w:snapToGrid w:val="0"/>
        <w:numPr>
          <w:numId w:val="0"/>
        </w:numPr>
        <w:rPr>
          <w:sz w:val="20"/>
        </w:rPr>
      </w:pPr>
      <w:r>
        <w:rPr>
          <w:rFonts w:hint="eastAsia"/>
          <w:sz w:val="20"/>
          <w:szCs w:val="20"/>
        </w:rPr>
        <w:t xml:space="preserve">将动平台与手柄等效质量记为</w:t>
      </w:r>
      <w:r>
        <w:rPr>
          <w:sz w:val="20"/>
          <w:szCs w:val="20"/>
        </w:rPr>
        <w:t xml:space="preserve"> </w:t>
      </w:r>
      <m:oMath>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oMath>
      <w:r>
        <w:rPr>
          <w:rFonts w:hint="eastAsia"/>
          <w:sz w:val="20"/>
          <w:szCs w:val="20"/>
        </w:rPr>
        <w:t xml:space="preserve">，重力补偿取</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r>
          <m:rPr>
            <m:sty m:val="bi"/>
          </m:rPr>
          <w:rPr>
            <w:sz w:val="20"/>
            <w:szCs w:val="20"/>
            <w:rFonts w:ascii="Cambria Math" w:hAnsi="Cambria Math" w:eastAsia="Cambria Math" w:cs="Cambria Math"/>
            <w:b w:val="1"/>
            <w:i w:val="1"/>
          </w:rPr>
          <m:t>g</m:t>
        </m:r>
      </m:oMath>
      <w:r>
        <w:rPr>
          <w:rFonts w:hint="eastAsia"/>
          <w:sz w:val="20"/>
          <w:szCs w:val="20"/>
        </w:rPr>
        <w:t xml:space="preserve">，必要时另加各支链重力项。该方法用于降低手持机构的静态负担。摩擦、参数误差和机构奇异会影响补偿效果，近奇异区域应限制力矩和操作范围。报告提供了补偿效果演示，尚未提供残余手持力的测量。</w:t>
      </w:r>
    </w:p>
    <w:bookmarkEnd w:id="32"/>
    <w:bookmarkStart w:id="33" w:name="位姿映射与底盘补偿"/>
    <w:p>
      <w:pPr>
        <w:pStyle w:val="4"/>
        <w:snapToGrid w:val="0"/>
        <w:numPr>
          <w:numId w:val="0"/>
        </w:numPr>
      </w:pPr>
      <w:r>
        <w:t xml:space="preserve">3) </w:t>
      </w:r>
      <w:r>
        <w:rPr>
          <w:rFonts w:hint="eastAsia"/>
        </w:rPr>
        <w:t xml:space="preserve">位姿映射与底盘补偿</w:t>
      </w:r>
    </w:p>
    <w:p>
      <w:pPr>
        <w:pStyle w:val="7"/>
        <w:snapToGrid w:val="0"/>
        <w:numPr>
          <w:numId w:val="0"/>
        </w:numPr>
        <w:rPr>
          <w:sz w:val="20"/>
        </w:rPr>
      </w:pPr>
      <w:r>
        <w:rPr>
          <w:rFonts w:hint="eastAsia"/>
          <w:sz w:val="20"/>
          <w:szCs w:val="20"/>
        </w:rPr>
        <w:t xml:space="preserve">主端初始化时记录平移零点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sz w:val="20"/>
          <w:szCs w:val="20"/>
        </w:rPr>
        <w:t xml:space="preserve"> </w:t>
      </w:r>
      <w:r>
        <w:rPr>
          <w:rFonts w:hint="eastAsia"/>
          <w:sz w:val="20"/>
          <w:szCs w:val="20"/>
        </w:rPr>
        <w:t xml:space="preserve">与从端参考点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rFonts w:hint="eastAsia"/>
          <w:sz w:val="20"/>
          <w:szCs w:val="20"/>
        </w:rPr>
        <w:t xml:space="preserve">，经坐标对齐后的主从位置映射为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K</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(34)</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为固定坐标校准旋转，</w:t>
      </w:r>
      <m:oMath>
        <m:sSub>
          <m:e>
            <m:r>
              <m:rPr>
                <m:sty m:val="b"/>
              </m:rPr>
              <w:rPr>
                <w:sz w:val="20"/>
                <w:szCs w:val="20"/>
                <w:rFonts w:ascii="Cambria Math" w:hAnsi="Cambria Math" w:eastAsia="Cambria Math" w:cs="Cambria Math"/>
                <w:b w:val="1"/>
                <w:i w:val="0"/>
              </w:rPr>
              <m:t>K</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diag</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为无量纲缩放矩阵。较小缩放系数可减小从端对手部位移的响应，但不能消除机械误差。重置按钮更新参考点时，应保持从端目标连续。</w:t>
      </w:r>
    </w:p>
    <w:p>
      <w:pPr>
        <w:pStyle w:val="7"/>
        <w:snapToGrid w:val="0"/>
        <w:numPr>
          <w:numId w:val="0"/>
        </w:numPr>
        <w:rPr>
          <w:sz w:val="20"/>
        </w:rPr>
      </w:pPr>
      <w:r>
        <w:rPr>
          <w:rFonts w:hint="eastAsia"/>
          <w:sz w:val="20"/>
          <w:szCs w:val="20"/>
        </w:rPr>
        <w:t xml:space="preserve">姿态手柄的三个编码器角记为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oMath>
      <w:r>
        <w:rPr>
          <w:rFonts w:hint="eastAsia"/>
          <w:sz w:val="20"/>
          <w:szCs w:val="20"/>
        </w:rPr>
        <w:t xml:space="preserve">，根据其真实串联转轴顺序求得</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oMath>
      <w:r>
        <w:rPr>
          <w:rFonts w:hint="eastAsia"/>
          <w:sz w:val="20"/>
          <w:szCs w:val="20"/>
        </w:rPr>
        <w:t xml:space="preserve">，再施加固定安装变换：</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(35)</w:t>
            </w:r>
          </w:p>
        </w:tc>
      </w:tr>
    </w:tbl>
    <w:p>
      <w:pPr>
        <w:pStyle w:val="7"/>
        <w:snapToGrid w:val="0"/>
        <w:numPr>
          <w:numId w:val="0"/>
        </w:numPr>
        <w:rPr>
          <w:sz w:val="20"/>
        </w:rPr>
      </w:pPr>
      <w:r>
        <w:rPr>
          <w:rFonts w:hint="eastAsia"/>
          <w:sz w:val="20"/>
          <w:szCs w:val="20"/>
        </w:rPr>
        <w:t xml:space="preserve">编码器角不能未经变换就当作从端的滚转、俯仰、偏航角。报告将旋转矩阵转换为欧拉角传输，接收端需采用一致的旋转顺序和角度环绕处理。位置与姿态组成目标齐次变换后，再进入机械臂解析逆解。</w:t>
      </w:r>
    </w:p>
    <w:p>
      <w:pPr>
        <w:pStyle w:val="7"/>
        <w:snapToGrid w:val="0"/>
        <w:numPr>
          <w:numId w:val="0"/>
        </w:numPr>
        <w:rPr>
          <w:sz w:val="20"/>
        </w:rPr>
      </w:pPr>
      <w:r>
        <w:rPr>
          <w:rFonts w:hint="eastAsia"/>
          <w:sz w:val="20"/>
          <w:szCs w:val="20"/>
        </w:rPr>
        <w:t xml:space="preserve">当目标超过机械臂设定的水平操作区间时，报告采用末端位置限幅和底盘平移补偿。设</w:t>
      </w:r>
      <w:r>
        <w:rPr>
          <w:sz w:val="20"/>
          <w:szCs w:val="20"/>
        </w:rPr>
        <w:t xml:space="preserve"> </w:t>
      </w:r>
      <m:oMath>
        <m:sSub>
          <m:e>
            <m:r>
              <m:rPr>
                <m:sty m:val="p"/>
              </m:rPr>
              <w:rPr>
                <w:sz w:val="20"/>
                <w:szCs w:val="20"/>
                <w:rFonts w:ascii="Cambria Math" w:hAnsi="Cambria Math" w:eastAsia="Cambria Math" w:cs="Cambria Math"/>
                <w:b w:val="0"/>
                <w:i w:val="0"/>
              </w:rPr>
              <m:t>Π</m:t>
            </m:r>
          </m:e>
          <m:sub>
            <m:r>
              <m:rPr>
                <m:scr m:val="script"/>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为对配置的笛卡尔边界盒逐分量截断，定义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p"/>
                          </m:rPr>
                          <w:rPr>
                            <w:sz w:val="18"/>
                            <w:szCs w:val="18"/>
                            <w:rFonts w:ascii="Cambria Math" w:hAnsi="Cambria Math" w:eastAsia="Cambria Math" w:cs="Cambria Math"/>
                            <w:b w:val="0"/>
                            <w:i w:val="0"/>
                          </w:rPr>
                          <m:t>Π</m:t>
                        </m:r>
                      </m:e>
                      <m:sub>
                        <m:r>
                          <m:rPr>
                            <m:scr m:val="script"/>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P</m:t>
                        </m:r>
                      </m:e>
                      <m:sub>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P</m:t>
            </m:r>
          </m:e>
          <m:sub>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取出水平分量。为避免每周期重复累计同一越界量，底盘参考增量采用</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Δ</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(37)</w:t>
            </w:r>
          </w:p>
        </w:tc>
      </w:tr>
    </w:tbl>
    <w:p>
      <w:pPr>
        <w:pStyle w:val="7"/>
        <w:snapToGrid w:val="0"/>
        <w:numPr>
          <w:numId w:val="0"/>
        </w:numPr>
        <w:rPr>
          <w:sz w:val="20"/>
        </w:rPr>
      </w:pP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33"/>
    <w:bookmarkEnd w:id="34"/>
    <w:bookmarkEnd w:id="35"/>
    <w:bookmarkStart w:id="40" w:name="iv.-实验与结果experiments-and-results"/>
    <w:p>
      <w:pPr>
        <w:pStyle w:val="2"/>
        <w:snapToGrid w:val="0"/>
        <w:numPr>
          <w:numId w:val="0"/>
        </w:numPr>
      </w:pPr>
      <w:r>
        <w:t xml:space="preserve">IV. </w:t>
      </w:r>
      <w:r>
        <w:rPr>
          <w:rFonts w:hint="eastAsia"/>
        </w:rPr>
        <w:t xml:space="preserve">实验与结果（Experiments</w:t>
      </w:r>
      <w:r>
        <w:t xml:space="preserve"> and </w:t>
      </w:r>
      <w:r>
        <w:rPr>
          <w:rFonts w:hint="eastAsia"/>
        </w:rPr>
        <w:t xml:space="preserve">Results）</w:t>
      </w:r>
    </w:p>
    <w:bookmarkStart w:id="36" w:name="a.-数据来源与评估指标"/>
    <w:p>
      <w:pPr>
        <w:pStyle w:val="3"/>
        <w:snapToGrid w:val="0"/>
        <w:numPr>
          <w:numId w:val="0"/>
        </w:numPr>
      </w:pPr>
      <w:r>
        <w:t xml:space="preserve">A. </w:t>
      </w:r>
      <w:r>
        <w:rPr>
          <w:rFonts w:hint="eastAsia"/>
        </w:rPr>
        <w:t xml:space="preserve">数据来源与评估指标</w:t>
      </w:r>
    </w:p>
    <w:p>
      <w:pPr>
        <w:pStyle w:val="7"/>
        <w:snapToGrid w:val="0"/>
        <w:numPr>
          <w:numId w:val="0"/>
        </w:numPr>
        <w:rPr>
          <w:sz w:val="20"/>
        </w:rPr>
      </w:pPr>
      <w:r>
        <w:rPr>
          <w:rFonts w:hint="eastAsia"/>
          <w:sz w:val="20"/>
          <w:szCs w:val="20"/>
        </w:rPr>
        <w:t xml:space="preserve">本文实验资料来自技术报告</w:t>
      </w:r>
      <w:r>
        <w:rPr>
          <w:sz w:val="20"/>
          <w:szCs w:val="20"/>
        </w:rPr>
        <w:t xml:space="preserve"> [4] </w:t>
      </w:r>
      <w:r>
        <w:rPr>
          <w:rFonts w:hint="eastAsia"/>
          <w:sz w:val="20"/>
          <w:szCs w:val="20"/>
        </w:rPr>
        <w:t xml:space="preserve">的控制曲线、功能演示和版本迭代记录，结构参数由</w:t>
      </w:r>
      <w:r>
        <w:rPr>
          <w:sz w:val="20"/>
          <w:szCs w:val="20"/>
        </w:rPr>
        <w:t xml:space="preserve"> [5] </w:t>
      </w:r>
      <w:r>
        <w:rPr>
          <w:rFonts w:hint="eastAsia"/>
          <w:sz w:val="20"/>
          <w:szCs w:val="20"/>
        </w:rPr>
        <w:t xml:space="preserve">补充。现有材料未包含可下载的逐时刻原始日志、统一误差带定义或重复试验统计，因此本节区分报告给出的数值、功能性观察和待测指标，不构造虚拟数据集。</w:t>
      </w:r>
    </w:p>
    <w:p>
      <w:pPr>
        <w:pStyle w:val="7"/>
        <w:snapToGrid w:val="0"/>
        <w:numPr>
          <w:numId w:val="0"/>
        </w:numPr>
        <w:rPr>
          <w:sz w:val="20"/>
        </w:rPr>
      </w:pPr>
      <w:r>
        <w:rPr>
          <w:rFonts w:hint="eastAsia"/>
          <w:sz w:val="20"/>
          <w:szCs w:val="20"/>
        </w:rPr>
        <w:t xml:space="preserve">后续定量评估宜同步记录主端指令、从端位姿、关节反馈、IMU、电池电压和电流。位置均方根误差、姿态误差和电能可分别定义为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ad>
                      <m:radPr>
                        <m:degHide m:val="on"/>
                      </m:radPr>
                      <m:deg/>
                      <m:e>
                        <m:f>
                          <m:fPr>
                            <m:type m:val="bar"/>
                          </m:fPr>
                          <m:num>
                            <m:r>
                              <w:rPr>
                                <w:sz w:val="18"/>
                                <w:szCs w:val="18"/>
                                <w:rFonts w:ascii="Cambria Math" w:hAnsi="Cambria Math" w:eastAsia="Cambria Math" w:cs="Cambria Math"/>
                              </w:rPr>
                              <m:t>1</m:t>
                            </m:r>
                          </m:num>
                          <m:den>
                            <m:r>
                              <w:rPr>
                                <w:sz w:val="18"/>
                                <w:szCs w:val="18"/>
                                <w:rFonts w:ascii="Cambria Math" w:hAnsi="Cambria Math" w:eastAsia="Cambria Math" w:cs="Cambria Math"/>
                              </w:rPr>
                              <m:t>N</m:t>
                            </m:r>
                          </m:den>
                        </m:f>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m:rPr>
                                <m:sty m:val="p"/>
                              </m:rPr>
                              <w:rPr>
                                <w:sz w:val="18"/>
                                <w:szCs w:val="18"/>
                                <w:rFonts w:ascii="Cambria Math" w:hAnsi="Cambria Math" w:eastAsia="Cambria Math" w:cs="Cambria Math"/>
                                <w:b w:val="0"/>
                                <w:i w:val="0"/>
                              </w:rPr>
                              <m:t>∥</m:t>
                            </m:r>
                          </m:e>
                        </m:nary>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r>
                          <m:rPr>
                            <m:sty m:val="p"/>
                          </m:rPr>
                          <w:rPr>
                            <w:sz w:val="18"/>
                            <w:szCs w:val="18"/>
                            <w:rFonts w:ascii="Cambria Math" w:hAnsi="Cambria Math" w:eastAsia="Cambria Math" w:cs="Cambria Math"/>
                            <w:b w:val="0"/>
                            <w:i w:val="0"/>
                          </w:rPr>
                          <m:t>tr</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R</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t</m:t>
                        </m:r>
                      </m:sub>
                    </m:sSub>
                    <m:r>
                      <m:rPr>
                        <m:sty m:val="p"/>
                      </m:rPr>
                      <w:rPr>
                        <w:sz w:val="18"/>
                        <w:szCs w:val="18"/>
                        <w:rFonts w:ascii="Cambria Math" w:hAnsi="Cambria Math" w:eastAsia="Cambria Math" w:cs="Cambria Math"/>
                        <w:b w:val="0"/>
                        <w:i w:val="0"/>
                      </w:rPr>
                      <m:t>=</m:t>
                    </m:r>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w:rPr>
                            <w:sz w:val="18"/>
                            <w:szCs w:val="18"/>
                            <w:rFonts w:ascii="Cambria Math" w:hAnsi="Cambria Math" w:eastAsia="Cambria Math" w:cs="Cambria Math"/>
                          </w:rPr>
                          <m:t>U</m:t>
                        </m:r>
                      </m:e>
                    </m:nary>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(38)</w:t>
            </w:r>
          </w:p>
        </w:tc>
      </w:tr>
    </w:tbl>
    <w:p>
      <w:pPr>
        <w:pStyle w:val="7"/>
        <w:snapToGrid w:val="0"/>
        <w:numPr>
          <w:numId w:val="0"/>
        </w:numPr>
        <w:rPr>
          <w:sz w:val="20"/>
        </w:rPr>
      </w:pPr>
      <w:r>
        <w:rPr>
          <w:rFonts w:hint="eastAsia"/>
          <w:sz w:val="20"/>
          <w:szCs w:val="20"/>
        </w:rPr>
        <w:t xml:space="preserve">其中</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为样本数，</w:t>
      </w:r>
      <m:oMath>
        <m:r>
          <w:rPr>
            <w:sz w:val="20"/>
            <w:szCs w:val="20"/>
            <w:rFonts w:ascii="Cambria Math" w:hAnsi="Cambria Math" w:eastAsia="Cambria Math" w:cs="Cambria Math"/>
          </w:rPr>
          <m:t>U</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为电池端电压和电流；姿态式中的反余弦输入须防止舍入越界。对于同一路线，可报告平均功率及单位行程耗能</w:t>
      </w:r>
      <w:r>
        <w:rPr>
          <w:sz w:val="20"/>
          <w:szCs w:val="20"/>
        </w:rPr>
        <w:t xml:space="preserve"> </w:t>
      </w:r>
      <m:oMath>
        <m:sSub>
          <m:e>
            <m:r>
              <w:rPr>
                <w:sz w:val="20"/>
                <w:szCs w:val="20"/>
                <w:rFonts w:ascii="Cambria Math" w:hAnsi="Cambria Math" w:eastAsia="Cambria Math" w:cs="Cambria Math"/>
              </w:rPr>
              <m:t>E</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t</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oMath>
      <w:r>
        <w:rPr>
          <w:rFonts w:hint="eastAsia"/>
          <w:sz w:val="20"/>
          <w:szCs w:val="20"/>
        </w:rPr>
        <w:t xml:space="preserve">，</w:t>
      </w:r>
      <m:oMath>
        <m:r>
          <w:rPr>
            <w:sz w:val="20"/>
            <w:szCs w:val="20"/>
            <w:rFonts w:ascii="Cambria Math" w:hAnsi="Cambria Math" w:eastAsia="Cambria Math" w:cs="Cambria Math"/>
          </w:rPr>
          <m:t>D</m:t>
        </m:r>
      </m:oMath>
      <w:r>
        <w:rPr>
          <w:sz w:val="20"/>
          <w:szCs w:val="20"/>
        </w:rPr>
        <w:t xml:space="preserve"> </w:t>
      </w:r>
      <w:r>
        <w:rPr>
          <w:rFonts w:hint="eastAsia"/>
          <w:sz w:val="20"/>
          <w:szCs w:val="20"/>
        </w:rPr>
        <w:t xml:space="preserve">为行程。阶跃响应应统一稳定时间误差带，越障任务应给出成功次数、总试验次数和障碍几何。以上定义是补测方案，当前不赋予未测数值。</w:t>
      </w:r>
    </w:p>
    <w:bookmarkEnd w:id="36"/>
    <w:bookmarkStart w:id="37" w:name="b.-实验设置"/>
    <w:p>
      <w:pPr>
        <w:pStyle w:val="3"/>
        <w:snapToGrid w:val="0"/>
        <w:numPr>
          <w:numId w:val="0"/>
        </w:numPr>
      </w:pPr>
      <w:r>
        <w:t xml:space="preserve">B. </w:t>
      </w:r>
      <w:r>
        <w:rPr>
          <w:rFonts w:hint="eastAsia"/>
        </w:rPr>
        <w:t xml:space="preserve">实验设置</w:t>
      </w:r>
    </w:p>
    <w:p>
      <w:pPr>
        <w:pStyle w:val="7"/>
        <w:snapToGrid w:val="0"/>
        <w:numPr>
          <w:numId w:val="0"/>
        </w:numPr>
        <w:rPr>
          <w:sz w:val="20"/>
        </w:rPr>
      </w:pPr>
      <w:r>
        <w:rPr>
          <w:sz w:val="20"/>
          <w:szCs w:val="20"/>
        </w:rPr>
        <w:t xml:space="preserve">TABLE III </w:t>
      </w:r>
      <w:r>
        <w:rPr>
          <w:rFonts w:hint="eastAsia"/>
          <w:sz w:val="20"/>
          <w:szCs w:val="20"/>
        </w:rPr>
        <w:t xml:space="preserve">汇总报告中的硬件与开发条件。</w:t>
      </w:r>
    </w:p>
    <w:p>
      <w:pPr>
        <w:pStyle w:val="28"/>
        <w:snapToGrid w:val="0"/>
        <w:numPr>
          <w:numId w:val="0"/>
        </w:numPr>
        <w:keepNext/>
      </w:pPr>
      <w:r>
        <w:rPr>
          <w:bCs/>
        </w:rPr>
        <w:t xml:space="preserve">TABLE III. </w:t>
      </w:r>
      <w:r>
        <w:rPr>
          <w:rFonts w:hint="eastAsia"/>
          <w:bCs/>
        </w:rPr>
        <w:t xml:space="preserve">技术报告记载的硬件与开发条件</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报告记录</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解释</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机器人质量</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载荷与附件口径未说明</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工作电压</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24</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V</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供电参数，不代表平均功率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车体最大速度</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s</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参数表记录，缺测试过程</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腿部关节驱动</w:t>
            </w:r>
          </w:p>
        </w:tc>
        <w:tc>
          <w:tcPr>
            <w:tcW w:w="1622" w:type="dxa"/>
          </w:tcPr>
          <w:p>
            <w:pPr>
              <w:pStyle w:val="26"/>
              <w:snapToGrid w:val="0"/>
              <w:numPr>
                <w:numId w:val="0"/>
              </w:numPr>
              <w:rPr>
                <w:sz w:val="16"/>
              </w:rPr>
              <w:spacing w:before="0" w:after="0" w:line="240" w:lineRule="auto"/>
              <w:keepNext w:val="1"/>
            </w:pPr>
            <w:r>
              <w:rPr>
                <w:sz w:val="16"/>
                <w:szCs w:val="16"/>
              </w:rPr>
              <w:t xml:space="preserve">8 </w:t>
            </w:r>
            <w:r>
              <w:rPr>
                <w:rFonts w:hint="eastAsia"/>
                <w:sz w:val="16"/>
                <w:szCs w:val="16"/>
              </w:rPr>
              <w:t xml:space="preserve">个</w:t>
            </w:r>
            <w:r>
              <w:rPr>
                <w:sz w:val="16"/>
                <w:szCs w:val="16"/>
              </w:rPr>
              <w:t xml:space="preserve"> DM-8009p-2EC</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报告列额定转矩</w:t>
            </w:r>
            <w:r>
              <w:rPr>
                <w:sz w:val="16"/>
                <w:szCs w:val="16"/>
              </w:rPr>
              <w:t xml:space="preserve"> </w:t>
            </w:r>
            <m:oMath>
              <m:r>
                <w:rPr>
                  <w:sz w:val="16"/>
                  <w:szCs w:val="16"/>
                  <w:rFonts w:ascii="Cambria Math" w:hAnsi="Cambria Math" w:eastAsia="Cambria Math" w:cs="Cambria Math"/>
                </w:rPr>
                <m:t>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N</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主端姿态编码器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MT6701</w:t>
            </w:r>
          </w:p>
        </w:tc>
        <w:tc>
          <w:tcPr>
            <w:tcW w:w="1622" w:type="dxa"/>
          </w:tcPr>
          <w:p>
            <w:pPr>
              <w:pStyle w:val="26"/>
              <w:snapToGrid w:val="0"/>
              <w:numPr>
                <w:numId w:val="0"/>
              </w:numPr>
              <w:rPr>
                <w:sz w:val="16"/>
              </w:rPr>
              <w:spacing w:before="0" w:after="0" w:line="240" w:lineRule="auto"/>
              <w:keepNext w:val="1"/>
            </w:pPr>
            <w:r>
              <w:rPr>
                <w:sz w:val="16"/>
                <w:szCs w:val="16"/>
              </w:rPr>
              <w:t xml:space="preserve">14 bit </w:t>
            </w:r>
            <w:r>
              <w:rPr>
                <w:rFonts w:hint="eastAsia"/>
                <w:sz w:val="16"/>
                <w:szCs w:val="16"/>
              </w:rPr>
              <w:t xml:space="preserve">输出分辨率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激光测距</w:t>
            </w:r>
          </w:p>
        </w:tc>
        <w:tc>
          <w:tcPr>
            <w:tcW w:w="1622" w:type="dxa"/>
          </w:tcPr>
          <w:p>
            <w:pPr>
              <w:pStyle w:val="26"/>
              <w:snapToGrid w:val="0"/>
              <w:numPr>
                <w:numId w:val="0"/>
              </w:numPr>
              <w:rPr>
                <w:sz w:val="16"/>
              </w:rPr>
              <w:spacing w:before="0" w:after="0" w:line="240" w:lineRule="auto"/>
              <w:keepNext w:val="1"/>
            </w:pPr>
            <w:r>
              <w:rPr>
                <w:sz w:val="16"/>
                <w:szCs w:val="16"/>
              </w:rPr>
              <w:t xml:space="preserve">2 </w:t>
            </w:r>
            <w:r>
              <w:rPr>
                <w:rFonts w:hint="eastAsia"/>
                <w:sz w:val="16"/>
                <w:szCs w:val="16"/>
              </w:rPr>
              <w:t xml:space="preserve">个</w:t>
            </w:r>
            <w:r>
              <w:rPr>
                <w:sz w:val="16"/>
                <w:szCs w:val="16"/>
              </w:rPr>
              <w:t xml:space="preserve"> ATK-MS530L0M</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量程</w:t>
            </w:r>
            <w:r>
              <w:rPr>
                <w:sz w:val="16"/>
                <w:szCs w:val="16"/>
              </w:rPr>
              <w:t xml:space="preserve"> </w:t>
            </w:r>
            <m:oMath>
              <m:r>
                <w:rPr>
                  <w:sz w:val="16"/>
                  <w:szCs w:val="16"/>
                  <w:rFonts w:ascii="Cambria Math" w:hAnsi="Cambria Math" w:eastAsia="Cambria Math" w:cs="Cambria Math"/>
                </w:rPr>
                <m:t>40</m:t>
              </m:r>
            </m:oMath>
            <w:r>
              <w:rPr>
                <w:sz w:val="16"/>
                <w:szCs w:val="16"/>
              </w:rPr>
              <w:t xml:space="preserve">–</w:t>
            </w:r>
            <m:oMath>
              <m:r>
                <w:rPr>
                  <w:sz w:val="16"/>
                  <w:szCs w:val="16"/>
                  <w:rFonts w:ascii="Cambria Math" w:hAnsi="Cambria Math" w:eastAsia="Cambria Math" w:cs="Cambria Math"/>
                </w:rPr>
                <m:t>1600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主端平移驱动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M3508</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用于</w:t>
            </w:r>
            <w:r>
              <w:rPr>
                <w:sz w:val="16"/>
                <w:szCs w:val="16"/>
              </w:rPr>
              <w:t xml:space="preserve"> Delta </w:t>
            </w:r>
            <w:r>
              <w:rPr>
                <w:rFonts w:hint="eastAsia"/>
                <w:sz w:val="16"/>
                <w:szCs w:val="16"/>
              </w:rPr>
              <w:t xml:space="preserve">机构</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软件部署</w:t>
            </w:r>
          </w:p>
        </w:tc>
        <w:tc>
          <w:tcPr>
            <w:tcW w:w="1622" w:type="dxa"/>
          </w:tcPr>
          <w:p>
            <w:pPr>
              <w:pStyle w:val="26"/>
              <w:snapToGrid w:val="0"/>
              <w:numPr>
                <w:numId w:val="0"/>
              </w:numPr>
              <w:rPr>
                <w:sz w:val="16"/>
              </w:rPr>
              <w:spacing w:before="0" w:after="0" w:line="240" w:lineRule="auto"/>
              <w:keepNext w:val="0"/>
            </w:pPr>
            <w:r>
              <w:rPr>
                <w:sz w:val="16"/>
                <w:szCs w:val="16"/>
              </w:rPr>
              <w:t xml:space="preserve">ARM Cortex-M、C/C++</w:t>
            </w:r>
          </w:p>
        </w:tc>
        <w:tc>
          <w:tcPr>
            <w:tcW w:w="1622" w:type="dxa"/>
          </w:tcPr>
          <w:p>
            <w:pPr>
              <w:pStyle w:val="26"/>
              <w:snapToGrid w:val="0"/>
              <w:numPr>
                <w:numId w:val="0"/>
              </w:numPr>
              <w:rPr>
                <w:sz w:val="16"/>
              </w:rPr>
              <w:spacing w:before="0" w:after="0" w:line="240" w:lineRule="auto"/>
              <w:keepNext w:val="0"/>
            </w:pPr>
            <w:r>
              <w:rPr>
                <w:sz w:val="16"/>
                <w:szCs w:val="16"/>
              </w:rPr>
              <w:t xml:space="preserve">STM32CubeMX、CMake、Ninja</w:t>
            </w:r>
          </w:p>
        </w:tc>
        <w:trPr>
          <w:cantSplit/>
        </w:trPr>
      </w:tr>
    </w:tbl>
    <w:p>
      <w:pPr>
        <w:pStyle w:val="7"/>
        <w:snapToGrid w:val="0"/>
        <w:numPr>
          <w:numId w:val="0"/>
        </w:numPr>
        <w:rPr>
          <w:sz w:val="20"/>
        </w:rPr>
      </w:pPr>
      <w:r>
        <w:rPr>
          <w:rFonts w:hint="eastAsia"/>
          <w:sz w:val="20"/>
          <w:szCs w:val="20"/>
        </w:rPr>
        <w:t xml:space="preserve">软件框架分为配置层、操作系统抽象层、板级支持层、硬件抽象层、通用库和应用层等模块。报告使用</w:t>
      </w:r>
      <w:r>
        <w:rPr>
          <w:sz w:val="20"/>
          <w:szCs w:val="20"/>
        </w:rPr>
        <w:t xml:space="preserve"> MATLAB </w:t>
      </w:r>
      <w:r>
        <w:rPr>
          <w:rFonts w:hint="eastAsia"/>
          <w:sz w:val="20"/>
          <w:szCs w:val="20"/>
        </w:rPr>
        <w:t xml:space="preserve">进行符号推导与运动学可视化，使用</w:t>
      </w:r>
      <w:r>
        <w:rPr>
          <w:sz w:val="20"/>
          <w:szCs w:val="20"/>
        </w:rPr>
        <w:t xml:space="preserve"> CAD </w:t>
      </w:r>
      <w:r>
        <w:rPr>
          <w:rFonts w:hint="eastAsia"/>
          <w:sz w:val="20"/>
          <w:szCs w:val="20"/>
        </w:rPr>
        <w:t xml:space="preserve">参数建立动力学模型，再部署至嵌入式控制器。具体</w:t>
      </w:r>
      <w:r>
        <w:rPr>
          <w:sz w:val="20"/>
          <w:szCs w:val="20"/>
        </w:rPr>
        <w:t xml:space="preserve"> MCU </w:t>
      </w:r>
      <w:r>
        <w:rPr>
          <w:rFonts w:hint="eastAsia"/>
          <w:sz w:val="20"/>
          <w:szCs w:val="20"/>
        </w:rPr>
        <w:t xml:space="preserve">型号、控制周期、无线链路频率、PID</w:t>
      </w:r>
      <w:r>
        <w:rPr>
          <w:sz w:val="20"/>
          <w:szCs w:val="20"/>
        </w:rPr>
        <w:t xml:space="preserve"> </w:t>
      </w:r>
      <w:r>
        <w:rPr>
          <w:rFonts w:hint="eastAsia"/>
          <w:sz w:val="20"/>
          <w:szCs w:val="20"/>
        </w:rPr>
        <w:t xml:space="preserve">增益、TD</w:t>
      </w:r>
      <w:r>
        <w:rPr>
          <w:sz w:val="20"/>
          <w:szCs w:val="20"/>
        </w:rPr>
        <w:t xml:space="preserve"> </w:t>
      </w:r>
      <w:r>
        <w:rPr>
          <w:rFonts w:hint="eastAsia"/>
          <w:sz w:val="20"/>
          <w:szCs w:val="20"/>
        </w:rPr>
        <w:t xml:space="preserve">参数和全部惯性参数未完整列出，因而当前只能复现方法结构，尚不能精确复现实机响应。</w:t>
      </w:r>
    </w:p>
    <w:p>
      <w:pPr>
        <w:pStyle w:val="7"/>
        <w:snapToGrid w:val="0"/>
        <w:numPr>
          <w:numId w:val="0"/>
        </w:numPr>
        <w:rPr>
          <w:sz w:val="20"/>
        </w:rPr>
      </w:pPr>
      <w:r>
        <w:rPr>
          <w:rFonts w:hint="eastAsia"/>
          <w:sz w:val="20"/>
          <w:szCs w:val="20"/>
        </w:rPr>
        <w:t xml:space="preserve">现有对比设置为机械臂第一关节的</w:t>
      </w:r>
      <w:r>
        <w:rPr>
          <w:sz w:val="20"/>
          <w:szCs w:val="20"/>
        </w:rPr>
        <w:t xml:space="preserve"> </w:t>
      </w:r>
      <m:oMath>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sz w:val="20"/>
          <w:szCs w:val="20"/>
        </w:rPr>
        <w:t xml:space="preserve"> </w:t>
      </w:r>
      <w:r>
        <w:rPr>
          <w:rFonts w:hint="eastAsia"/>
          <w:sz w:val="20"/>
          <w:szCs w:val="20"/>
        </w:rPr>
        <w:t xml:space="preserve">阶跃输入，比较单纯串级</w:t>
      </w:r>
      <w:r>
        <w:rPr>
          <w:sz w:val="20"/>
          <w:szCs w:val="20"/>
        </w:rPr>
        <w:t xml:space="preserve"> PID </w:t>
      </w:r>
      <w:r>
        <w:rPr>
          <w:rFonts w:hint="eastAsia"/>
          <w:sz w:val="20"/>
          <w:szCs w:val="20"/>
        </w:rPr>
        <w:t xml:space="preserve">与跟踪微分器（tracking</w:t>
      </w:r>
      <w:r>
        <w:rPr>
          <w:sz w:val="20"/>
          <w:szCs w:val="20"/>
        </w:rPr>
        <w:t xml:space="preserve"> </w:t>
      </w:r>
      <w:r>
        <w:rPr>
          <w:rFonts w:hint="eastAsia"/>
          <w:sz w:val="20"/>
          <w:szCs w:val="20"/>
        </w:rPr>
        <w:t xml:space="preserve">differentiator，TD）加串级</w:t>
      </w:r>
      <w:r>
        <w:rPr>
          <w:sz w:val="20"/>
          <w:szCs w:val="20"/>
        </w:rPr>
        <w:t xml:space="preserve"> </w:t>
      </w:r>
      <w:r>
        <w:rPr>
          <w:rFonts w:hint="eastAsia"/>
          <w:sz w:val="20"/>
          <w:szCs w:val="20"/>
        </w:rPr>
        <w:t xml:space="preserve">PID，后者用于平滑参考指令。底盘仿真记录包括台阶和减速带通过，实机记录包括基本运动、单边台阶、坡道自平衡和双级台阶功能。仿真、实机及上一代平台演示分别记录，不合并为同一实验条件。</w:t>
      </w:r>
    </w:p>
    <w:bookmarkEnd w:id="37"/>
    <w:bookmarkStart w:id="38" w:name="c.-结果与分析"/>
    <w:p>
      <w:pPr>
        <w:pStyle w:val="3"/>
        <w:snapToGrid w:val="0"/>
        <w:numPr>
          <w:numId w:val="0"/>
        </w:numPr>
      </w:pPr>
      <w:r>
        <w:t xml:space="preserve">C. </w:t>
      </w:r>
      <w:r>
        <w:rPr>
          <w:rFonts w:hint="eastAsia"/>
        </w:rPr>
        <w:t xml:space="preserve">结果与分析</w:t>
      </w:r>
    </w:p>
    <w:p>
      <w:pPr>
        <w:pStyle w:val="7"/>
        <w:snapToGrid w:val="0"/>
        <w:numPr>
          <w:numId w:val="0"/>
        </w:numPr>
        <w:rPr>
          <w:sz w:val="20"/>
        </w:rPr>
      </w:pPr>
      <w:r>
        <w:rPr>
          <w:rFonts w:hint="eastAsia"/>
          <w:sz w:val="20"/>
          <w:szCs w:val="20"/>
        </w:rPr>
        <w:t xml:space="preserve">已有结果及其证据范围汇总于</w:t>
      </w:r>
      <w:r>
        <w:rPr>
          <w:sz w:val="20"/>
          <w:szCs w:val="20"/>
        </w:rPr>
        <w:t xml:space="preserve"> TABLE IV。</w:t>
      </w:r>
    </w:p>
    <w:p>
      <w:pPr>
        <w:pStyle w:val="28"/>
        <w:snapToGrid w:val="0"/>
        <w:numPr>
          <w:numId w:val="0"/>
        </w:numPr>
        <w:keepNext/>
      </w:pPr>
      <w:r>
        <w:rPr>
          <w:bCs/>
        </w:rPr>
        <w:t xml:space="preserve">TABLE IV. </w:t>
      </w:r>
      <w:r>
        <w:rPr>
          <w:rFonts w:hint="eastAsia"/>
          <w:bCs/>
        </w:rPr>
        <w:t xml:space="preserve">已有实验记录及其证据范围</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已有结果</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证据范围</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0.89</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报告第</w:t>
            </w:r>
            <w:r>
              <w:rPr>
                <w:sz w:val="16"/>
                <w:szCs w:val="16"/>
              </w:rPr>
              <w:t xml:space="preserve"> 41 </w:t>
            </w:r>
            <w:r>
              <w:rPr>
                <w:rFonts w:hint="eastAsia"/>
                <w:sz w:val="16"/>
                <w:szCs w:val="16"/>
              </w:rPr>
              <w:t xml:space="preserve">页，误差带未定义</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关节阶跃：TD</w:t>
            </w:r>
            <w:r>
              <w:rPr>
                <w:sz w:val="16"/>
                <w:szCs w:val="16"/>
              </w:rPr>
              <w:t xml:space="preserve"> </w:t>
            </w:r>
            <w:r>
              <w:rPr>
                <w:rFonts w:hint="eastAsia"/>
                <w:sz w:val="16"/>
                <w:szCs w:val="16"/>
              </w:rPr>
              <w:t xml:space="preserve">加串级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0.51</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同一页对比图，缺原始日志</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底盘台阶通过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台阶</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仿真记录，非实机高度结论</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底盘减速带通过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减速带</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仿真记录，缺重复次数</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实机姿态与越障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单边台阶、坡道、双级台阶演示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未给台阶高度及姿态误差</w:t>
            </w:r>
          </w:p>
        </w:tc>
        <w:trPr>
          <w:cantSplit/>
        </w:trPr>
      </w:tr>
      <w:tr>
        <w:tc>
          <w:tcPr>
            <w:tcW w:w="1622" w:type="dxa"/>
          </w:tcPr>
          <w:p>
            <w:pPr>
              <w:pStyle w:val="26"/>
              <w:snapToGrid w:val="0"/>
              <w:numPr>
                <w:numId w:val="0"/>
              </w:numPr>
              <w:rPr>
                <w:sz w:val="16"/>
              </w:rPr>
              <w:spacing w:before="0" w:after="0" w:line="240" w:lineRule="auto"/>
              <w:keepNext w:val="1"/>
            </w:pPr>
            <w:r>
              <w:rPr>
                <w:sz w:val="16"/>
                <w:szCs w:val="16"/>
              </w:rPr>
              <w:t xml:space="preserve">Delta </w:t>
            </w:r>
            <w:r>
              <w:rPr>
                <w:rFonts w:hint="eastAsia"/>
                <w:sz w:val="16"/>
                <w:szCs w:val="16"/>
              </w:rPr>
              <w:t xml:space="preserve">主端</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正逆解验证、重力补偿演示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缺位置误差与残余力数据</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机械臂重力悬停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多姿态悬停演示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报告明确使用上一代平台</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整机能耗与末端精度</w:t>
            </w:r>
          </w:p>
        </w:tc>
        <w:tc>
          <w:tcPr>
            <w:tcW w:w="1622" w:type="dxa"/>
          </w:tcPr>
          <w:p>
            <w:pPr>
              <w:pStyle w:val="26"/>
              <w:snapToGrid w:val="0"/>
              <w:numPr>
                <w:numId w:val="0"/>
              </w:numPr>
              <w:rPr>
                <w:sz w:val="16"/>
              </w:rPr>
              <w:spacing w:before="0" w:after="0" w:line="240" w:lineRule="auto"/>
              <w:keepNext w:val="0"/>
            </w:pPr>
            <w:r>
              <w:rPr>
                <w:sz w:val="16"/>
                <w:szCs w:val="16"/>
              </w:rPr>
              <w:t xml:space="preserve">—</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待补测</w:t>
            </w:r>
          </w:p>
        </w:tc>
        <w:trPr>
          <w:cantSplit/>
        </w:trPr>
      </w:tr>
    </w:tbl>
    <w:p>
      <w:pPr>
        <w:pStyle w:val="7"/>
        <w:snapToGrid w:val="0"/>
        <w:numPr>
          <w:numId w:val="0"/>
        </w:numPr>
        <w:rPr>
          <w:sz w:val="20"/>
        </w:rPr>
      </w:pPr>
      <w:r>
        <w:rPr>
          <w:rFonts w:hint="eastAsia"/>
          <w:sz w:val="20"/>
          <w:szCs w:val="20"/>
        </w:rPr>
        <w:t xml:space="preserve">按报告给出的稳定时间估算，TD</w:t>
      </w:r>
      <w:r>
        <w:rPr>
          <w:sz w:val="20"/>
          <w:szCs w:val="20"/>
        </w:rPr>
        <w:t xml:space="preserve"> </w:t>
      </w:r>
      <w:r>
        <w:rPr>
          <w:rFonts w:hint="eastAsia"/>
          <w:sz w:val="20"/>
          <w:szCs w:val="20"/>
        </w:rPr>
        <w:t xml:space="preserve">加串级</w:t>
      </w:r>
      <w:r>
        <w:rPr>
          <w:sz w:val="20"/>
          <w:szCs w:val="20"/>
        </w:rPr>
        <w:t xml:space="preserve"> PID </w:t>
      </w:r>
      <w:r>
        <w:rPr>
          <w:rFonts w:hint="eastAsia"/>
          <w:sz w:val="20"/>
          <w:szCs w:val="20"/>
        </w:rPr>
        <w:t xml:space="preserve">相对于单纯串级</w:t>
      </w:r>
      <w:r>
        <w:rPr>
          <w:sz w:val="20"/>
          <w:szCs w:val="20"/>
        </w:rPr>
        <w:t xml:space="preserve"> PID </w:t>
      </w:r>
      <w:r>
        <w:rPr>
          <w:rFonts w:hint="eastAsia"/>
          <w:sz w:val="20"/>
          <w:szCs w:val="20"/>
        </w:rPr>
        <w:t xml:space="preserve">的时间缩短比例为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f>
                  <m:fPr>
                    <m:type m:val="bar"/>
                  </m:fPr>
                  <m:num>
                    <m:r>
                      <w:rPr>
                        <w:sz w:val="18"/>
                        <w:szCs w:val="18"/>
                        <w:rFonts w:ascii="Cambria Math" w:hAnsi="Cambria Math" w:eastAsia="Cambria Math" w:cs="Cambria Math"/>
                      </w:rPr>
                      <m:t>0.89</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0.51</m:t>
                    </m:r>
                  </m:num>
                  <m:den>
                    <m:r>
                      <w:rPr>
                        <w:sz w:val="18"/>
                        <w:szCs w:val="18"/>
                        <w:rFonts w:ascii="Cambria Math" w:hAnsi="Cambria Math" w:eastAsia="Cambria Math" w:cs="Cambria Math"/>
                      </w:rPr>
                      <m:t>0.89</m:t>
                    </m:r>
                  </m:den>
                </m:f>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100</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42.7</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(39)</w:t>
            </w:r>
          </w:p>
        </w:tc>
      </w:tr>
    </w:tbl>
    <w:p>
      <w:pPr>
        <w:pStyle w:val="7"/>
        <w:snapToGrid w:val="0"/>
        <w:numPr>
          <w:numId w:val="0"/>
        </w:numPr>
        <w:rPr>
          <w:sz w:val="20"/>
        </w:rPr>
      </w:pPr>
      <w:r>
        <w:rPr>
          <w:rFonts w:hint="eastAsia"/>
          <w:sz w:val="20"/>
          <w:szCs w:val="20"/>
        </w:rPr>
        <w:t xml:space="preserve">这一比例仅是报告两个近似读数的换算，支持该次测试中引入</w:t>
      </w:r>
      <w:r>
        <w:rPr>
          <w:sz w:val="20"/>
          <w:szCs w:val="20"/>
        </w:rPr>
        <w:t xml:space="preserve"> TD </w:t>
      </w:r>
      <w:r>
        <w:rPr>
          <w:rFonts w:hint="eastAsia"/>
          <w:sz w:val="20"/>
          <w:szCs w:val="20"/>
        </w:rPr>
        <w:t xml:space="preserve">后响应改善的观察。它不能替代相同误差带下的多次试验，也不能推出末端定位误差降低了相同比例。Fig.</w:t>
      </w:r>
      <w:r>
        <w:rPr>
          <w:sz w:val="20"/>
          <w:szCs w:val="20"/>
        </w:rPr>
        <w:t xml:space="preserve"> 8 </w:t>
      </w:r>
      <w:r>
        <w:rPr>
          <w:rFonts w:hint="eastAsia"/>
          <w:sz w:val="20"/>
          <w:szCs w:val="20"/>
        </w:rPr>
        <w:t xml:space="preserve">预留原始曲线重新导出的对比图。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8. </w:t>
      </w:r>
      <w:r>
        <w:rPr>
          <w:rFonts w:hint="eastAsia"/>
          <w:iCs/>
        </w:rPr>
        <w:t xml:space="preserve">第一关节阶跃响应对比（留白；待提供带坐标、图例及误差带的清晰曲线）。</w:t>
      </w:r>
    </w:p>
    <w:p>
      <w:pPr>
        <w:pStyle w:val="7"/>
        <w:snapToGrid w:val="0"/>
        <w:numPr>
          <w:numId w:val="0"/>
        </w:numPr>
        <w:rPr>
          <w:sz w:val="20"/>
        </w:rPr>
      </w:pPr>
      <w:r>
        <w:rPr>
          <w:rFonts w:hint="eastAsia"/>
          <w:sz w:val="20"/>
          <w:szCs w:val="20"/>
        </w:rPr>
        <w:t xml:space="preserve">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 xml:space="preserve">预留分别标注仿真与实机条件的连续画面。</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9. </w:t>
      </w:r>
      <w:r>
        <w:rPr>
          <w:rFonts w:hint="eastAsia"/>
          <w:iCs/>
        </w:rPr>
        <w:t xml:space="preserve">底盘越障与姿态调节的仿真、实机序列（留白，待补场景参数及连续画面）。</w:t>
      </w:r>
    </w:p>
    <w:p>
      <w:pPr>
        <w:pStyle w:val="7"/>
        <w:snapToGrid w:val="0"/>
        <w:numPr>
          <w:numId w:val="0"/>
        </w:numPr>
        <w:rPr>
          <w:sz w:val="20"/>
        </w:rPr>
      </w:pPr>
      <w:r>
        <w:rPr>
          <w:sz w:val="20"/>
          <w:szCs w:val="20"/>
        </w:rPr>
        <w:t xml:space="preserve">14 bit </w:t>
      </w:r>
      <w:r>
        <w:rPr>
          <w:rFonts w:hint="eastAsia"/>
          <w:sz w:val="20"/>
          <w:szCs w:val="20"/>
        </w:rPr>
        <w:t xml:space="preserve">编码器在整周编码假设下的角度量化间隔约为</w:t>
      </w:r>
      <w:r>
        <w:rPr>
          <w:sz w:val="20"/>
          <w:szCs w:val="20"/>
        </w:rPr>
        <w:t xml:space="preserve"> </w:t>
      </w:r>
      <m:oMath>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2</m:t>
            </m:r>
          </m:e>
          <m:sup>
            <m:r>
              <w:rPr>
                <w:sz w:val="20"/>
                <w:szCs w:val="20"/>
                <w:rFonts w:ascii="Cambria Math" w:hAnsi="Cambria Math" w:eastAsia="Cambria Math" w:cs="Cambria Math"/>
              </w:rPr>
              <m:t>14</m:t>
            </m:r>
          </m:sup>
        </m:s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3.83</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10</m:t>
            </m:r>
          </m:e>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sup>
        </m:sSup>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rFonts w:hint="eastAsia"/>
          <w:sz w:val="20"/>
          <w:szCs w:val="20"/>
        </w:rPr>
        <w:t xml:space="preserve">，即约</w:t>
      </w:r>
      <w:r>
        <w:rPr>
          <w:sz w:val="20"/>
          <w:szCs w:val="20"/>
        </w:rPr>
        <w:t xml:space="preserve"> </w:t>
      </w:r>
      <m:oMath>
        <m:sSup>
          <m:e>
            <m:r>
              <w:rPr>
                <w:sz w:val="20"/>
                <w:szCs w:val="20"/>
                <w:rFonts w:ascii="Cambria Math" w:hAnsi="Cambria Math" w:eastAsia="Cambria Math" w:cs="Cambria Math"/>
              </w:rPr>
              <m:t>0.022</m:t>
            </m:r>
          </m:e>
          <m:sup>
            <m:r>
              <m:rPr>
                <m:sty m:val="p"/>
              </m:rPr>
              <w:rPr>
                <w:sz w:val="20"/>
                <w:szCs w:val="20"/>
                <w:rFonts w:ascii="Cambria Math" w:hAnsi="Cambria Math" w:eastAsia="Cambria Math" w:cs="Cambria Math"/>
                <w:b w:val="0"/>
                <w:i w:val="0"/>
              </w:rPr>
              <m:t>∘</m:t>
            </m:r>
          </m:sup>
        </m:sSup>
      </m:oMath>
      <w:r>
        <w:rPr>
          <w:rFonts w:hint="eastAsia"/>
          <w:sz w:val="20"/>
          <w:szCs w:val="20"/>
        </w:rPr>
        <w:t xml:space="preserve">。这是理想输出量化间隔，不是编码器绝对精度，更不是主从末端精度。连杆尺寸误差、安装偏置、传动间隙、雅可比条件数和无线延迟共同影响实际结果。</w:t>
      </w:r>
    </w:p>
    <w:bookmarkEnd w:id="38"/>
    <w:bookmarkStart w:id="39" w:name="d.-讨论discussion"/>
    <w:p>
      <w:pPr>
        <w:pStyle w:val="3"/>
        <w:snapToGrid w:val="0"/>
        <w:numPr>
          <w:numId w:val="0"/>
        </w:numPr>
      </w:pPr>
      <w:r>
        <w:t xml:space="preserve">D. </w:t>
      </w:r>
      <w:r>
        <w:rPr>
          <w:rFonts w:hint="eastAsia"/>
        </w:rPr>
        <w:t xml:space="preserve">讨论（Discussion）</w:t>
      </w:r>
    </w:p>
    <w:p>
      <w:pPr>
        <w:pStyle w:val="7"/>
        <w:snapToGrid w:val="0"/>
        <w:numPr>
          <w:numId w:val="0"/>
        </w:numPr>
        <w:rPr>
          <w:sz w:val="20"/>
        </w:rPr>
      </w:pPr>
      <w:r>
        <w:rPr>
          <w:rFonts w:hint="eastAsia"/>
          <w:sz w:val="20"/>
          <w:szCs w:val="20"/>
        </w:rPr>
        <w:t xml:space="preserve">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pPr>
        <w:pStyle w:val="7"/>
        <w:snapToGrid w:val="0"/>
        <w:numPr>
          <w:numId w:val="0"/>
        </w:numPr>
        <w:rPr>
          <w:sz w:val="20"/>
        </w:rPr>
      </w:pPr>
      <w:r>
        <w:rPr>
          <w:rFonts w:hint="eastAsia"/>
          <w:sz w:val="20"/>
          <w:szCs w:val="20"/>
        </w:rPr>
        <w:t xml:space="preserve">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pPr>
        <w:pStyle w:val="7"/>
        <w:snapToGrid w:val="0"/>
        <w:numPr>
          <w:numId w:val="0"/>
        </w:numPr>
        <w:rPr>
          <w:sz w:val="20"/>
        </w:rPr>
      </w:pPr>
      <w:r>
        <w:rPr>
          <w:rFonts w:hint="eastAsia"/>
          <w:sz w:val="20"/>
          <w:szCs w:val="20"/>
        </w:rPr>
        <w:t xml:space="preserve">遥操作层面，平移与姿态分离输入降低了操作手直接协调六个从端关节的负担。主端重力补偿及</w:t>
      </w:r>
      <w:r>
        <w:rPr>
          <w:sz w:val="20"/>
          <w:szCs w:val="20"/>
        </w:rPr>
        <w:t xml:space="preserve"> TD </w:t>
      </w:r>
      <w:r>
        <w:rPr>
          <w:rFonts w:hint="eastAsia"/>
          <w:sz w:val="20"/>
          <w:szCs w:val="20"/>
        </w:rPr>
        <w:t xml:space="preserve">平滑有助于改善操作过程，但“更直观”“更精细”仍需通过用户任务、位置误差及延迟测量评价。现有资料不支持与</w:t>
      </w:r>
      <w:r>
        <w:rPr>
          <w:sz w:val="20"/>
          <w:szCs w:val="20"/>
        </w:rPr>
        <w:t xml:space="preserve"> [1]–[3] </w:t>
      </w:r>
      <w:r>
        <w:rPr>
          <w:rFonts w:hint="eastAsia"/>
          <w:sz w:val="20"/>
          <w:szCs w:val="20"/>
        </w:rPr>
        <w:t xml:space="preserve">的跨平台性能排名，也不足以宣称已实现任意地形下的高精度、低能耗移动操作。</w:t>
      </w:r>
    </w:p>
    <w:bookmarkEnd w:id="39"/>
    <w:bookmarkEnd w:id="40"/>
    <w:bookmarkStart w:id="41" w:name="v.-结论conclusion"/>
    <w:p>
      <w:pPr>
        <w:pStyle w:val="2"/>
        <w:snapToGrid w:val="0"/>
        <w:numPr>
          <w:numId w:val="0"/>
        </w:numPr>
      </w:pPr>
      <w:r>
        <w:t xml:space="preserve">V. </w:t>
      </w:r>
      <w:r>
        <w:rPr>
          <w:rFonts w:hint="eastAsia"/>
        </w:rPr>
        <w:t xml:space="preserve">结论（Conclusion）</w:t>
      </w:r>
    </w:p>
    <w:p>
      <w:pPr>
        <w:pStyle w:val="7"/>
        <w:snapToGrid w:val="0"/>
        <w:numPr>
          <w:numId w:val="0"/>
        </w:numPr>
        <w:rPr>
          <w:sz w:val="20"/>
        </w:rPr>
      </w:pPr>
      <w:r>
        <w:rPr>
          <w:rFonts w:hint="eastAsia"/>
          <w:sz w:val="20"/>
          <w:szCs w:val="20"/>
        </w:rPr>
        <w:t xml:space="preserve">本文围绕麦克纳姆轮四足底盘、六轴机械臂和</w:t>
      </w:r>
      <w:r>
        <w:rPr>
          <w:sz w:val="20"/>
          <w:szCs w:val="20"/>
        </w:rPr>
        <w:t xml:space="preserve"> Delta </w:t>
      </w:r>
      <w:r>
        <w:rPr>
          <w:rFonts w:hint="eastAsia"/>
          <w:sz w:val="20"/>
          <w:szCs w:val="20"/>
        </w:rPr>
        <w:t xml:space="preserve">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 xml:space="preserve">平移、三编码器姿态输入与坐标缩放连接操作者和机器人。</w:t>
      </w:r>
    </w:p>
    <w:p>
      <w:pPr>
        <w:pStyle w:val="7"/>
        <w:snapToGrid w:val="0"/>
        <w:numPr>
          <w:numId w:val="0"/>
        </w:numPr>
        <w:rPr>
          <w:sz w:val="20"/>
        </w:rPr>
      </w:pPr>
      <w:r>
        <w:rPr>
          <w:rFonts w:hint="eastAsia"/>
          <w:sz w:val="20"/>
          <w:szCs w:val="20"/>
        </w:rPr>
        <w:t xml:space="preserve">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41"/>
    <w:bookmarkStart w:id="42" w:name="致谢acknowledgment"/>
    <w:p>
      <w:pPr>
        <w:pStyle w:val="6"/>
        <w:snapToGrid w:val="0"/>
        <w:numPr>
          <w:numId w:val="0"/>
        </w:numPr>
        <w:keepNext/>
      </w:pPr>
      <w:r>
        <w:rPr>
          <w:rFonts w:hint="eastAsia"/>
        </w:rPr>
        <w:t xml:space="preserve">致谢（Acknowledgment）</w:t>
      </w:r>
    </w:p>
    <w:p>
      <w:pPr>
        <w:pStyle w:val="7"/>
        <w:snapToGrid w:val="0"/>
        <w:numPr>
          <w:numId w:val="0"/>
        </w:numPr>
        <w:rPr>
          <w:sz w:val="20"/>
        </w:rPr>
      </w:pPr>
      <w:r>
        <w:rPr>
          <w:rFonts w:hint="eastAsia"/>
          <w:sz w:val="20"/>
          <w:szCs w:val="20"/>
        </w:rPr>
        <w:t xml:space="preserve">资助项目、合作单位及需致谢人员待作者确认。</w:t>
      </w:r>
    </w:p>
    <w:bookmarkEnd w:id="42"/>
    <w:bookmarkStart w:id="43" w:name="参考文献references"/>
    <w:p>
      <w:pPr>
        <w:pStyle w:val="6"/>
        <w:snapToGrid w:val="0"/>
        <w:numPr>
          <w:numId w:val="0"/>
        </w:numPr>
        <w:keepNext/>
      </w:pPr>
      <w:r>
        <w:rPr>
          <w:rFonts w:hint="eastAsia"/>
        </w:rPr>
        <w:t xml:space="preserve">参考文献（References）</w:t>
      </w:r>
    </w:p>
    <w:p>
      <w:pPr>
        <w:pStyle w:val="22"/>
        <w:snapToGrid w:val="0"/>
        <w:numPr>
          <w:numId w:val="0"/>
        </w:numPr>
      </w:pPr>
      <w:r>
        <w:t xml:space="preserve">[1] Z. Wang et al., “Arm-constrained curriculum learning for loco-manipulation of the wheel-legged robot,” arXiv:2403.16535v2, 2024. [Online]. Available: https://arxiv.org/abs/2403.16535v2</w:t>
      </w:r>
    </w:p>
    <w:p>
      <w:pPr>
        <w:pStyle w:val="22"/>
        <w:snapToGrid w:val="0"/>
        <w:numPr>
          <w:numId w:val="0"/>
        </w:numPr>
      </w:pPr>
      <w:r>
        <w:t xml:space="preserve">[2] R. Zhang, H. Du, P. Qiu, Y. Yang, and W. Song, “Motion control of a hybrid self-reconfigurable wheel-legged dual-arm robot,” in</w:t>
      </w:r>
      <w:r>
        <w:t xml:space="preserve"> </w:t>
      </w:r>
      <w:r>
        <w:rPr>
          <w:i/>
          <w:iCs/>
        </w:rPr>
        <w:t xml:space="preserve">Proc. IEEE/RSJ Int. Conf. Intell. Robots Syst. (IROS)</w:t>
      </w:r>
      <w:r>
        <w:t xml:space="preserve">, 2025, pp. 16483–16488, doi: 10.1109/IROS60139.2025.11246212.</w:t>
      </w:r>
    </w:p>
    <w:p>
      <w:pPr>
        <w:pStyle w:val="22"/>
        <w:snapToGrid w:val="0"/>
        <w:numPr>
          <w:numId w:val="0"/>
        </w:numPr>
      </w:pPr>
      <w:r>
        <w:t xml:space="preserve">[3] C. Cruz Ulloa, D. Domínguez, A. Barrientos, and J. del Cerro, “Design and mixed-reality teleoperation of a quadruped-manipulator robot for SAR tasks,” in</w:t>
      </w:r>
      <w:r>
        <w:t xml:space="preserve"> </w:t>
      </w:r>
      <w:r>
        <w:rPr>
          <w:i/>
          <w:iCs/>
        </w:rPr>
        <w:t xml:space="preserve">Robotics in Natural Settings</w:t>
      </w:r>
      <w:r>
        <w:t xml:space="preserve">, Lecture Notes in Networks and Systems, vol. 530. Springer, 2023, pp. 181–194, doi: 10.1007/978-3-031-15226-9_19.</w:t>
      </w:r>
    </w:p>
    <w:p>
      <w:pPr>
        <w:pStyle w:val="22"/>
        <w:snapToGrid w:val="0"/>
        <w:numPr>
          <w:numId w:val="0"/>
        </w:numPr>
      </w:pPr>
      <w:r>
        <w:t xml:space="preserve">[4] </w:t>
      </w:r>
      <w:r>
        <w:rPr>
          <w:rFonts w:hint="eastAsia"/>
        </w:rPr>
        <w:t xml:space="preserve">赵苏亚，“机器人、遥操作控制器开源技术报告，”技术报告，2026，未正式出版，仓库文件：2024311101-赵苏亚-机器人、遥操作控制器开源技术报告.pdf。</w:t>
      </w:r>
    </w:p>
    <w:p>
      <w:pPr>
        <w:pStyle w:val="22"/>
        <w:snapToGrid w:val="0"/>
        <w:numPr>
          <w:numId w:val="0"/>
        </w:numPr>
      </w:pPr>
      <w:r>
        <w:t xml:space="preserve">[5] </w:t>
      </w:r>
      <w:r>
        <w:rPr>
          <w:rFonts w:hint="eastAsia"/>
        </w:rPr>
        <w:t xml:space="preserve">“机械部分，”项目机械设计资料，未正式出版，作者与成稿日期待确认，仓库文件：机械部分.docx。</w:t>
      </w:r>
    </w:p>
    <w:bookmarkEnd w:id="43"/>
    <w:bookmarkEnd w:id="44"/>
    <w:p>
      <w:pPr>
        <w:pStyle w:val="1"/>
        <w:snapToGrid w:val="0"/>
        <w:numPr>
          <w:numId w:val="0"/>
        </w:numPr>
        <w:spacing w:before="0" w:after="0" w:line="1" w:lineRule="exact"/>
        <w:sectPr>
          <w:type w:val="continuous"/>
          <w:pgSz w:w="11906" w:h="16838"/>
          <w:pgMar w:top="1080" w:right="907" w:bottom="1440" w:left="907" w:header="720" w:footer="720" w:gutter="0"/>
          <w:cols w:space="360" w:num="2"/>
          <w:docGrid w:linePitch="360" w:charSpace="0"/>
        </w:sectPr>
      </w:pPr>
    </w:p>
    <w:sectPr>
      <w:type w:val="continuous"/>
      <w:pgSz w:w="11906" w:h="16838"/>
      <w:pgMar w:top="1080" w:right="893" w:bottom="1440" w:left="893" w:header="720" w:footer="720" w:gutter="0"/>
      <w:cols w:space="720" w:num="1"/>
      <w:docGrid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0"/>
    <w:family w:val="roman"/>
    <w:pitch w:val="default"/>
    <w:sig w:usb0="00000000" w:usb1="00000000" w:usb2="00000000" w:usb3="00000000" w:csb0="8000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CC">
    <w:pPr>
      <w:pStyle w:val="8"/>
      <w:jc w:val="left"/>
      <w:rPr>
        <w:sz w:val="16"/>
        <w:szCs w:val="16"/>
      </w:rPr>
    </w:pPr>
    <w:r>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pos="648" w:val="left"/>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1">
    <w:nsid w:val="37660336"/>
    <w:multiLevelType w:val="multilevel"/>
    <w:tmpl w:val="37660336"/>
    <w:lvl w:ilvl="0" w:tentative="0">
      <w:start w:val="1"/>
      <w:numFmt w:val="bullet"/>
      <w:pStyle w:val="16"/>
      <w:lvlText w:val=""/>
      <w:lvlJc w:val="left"/>
      <w:pPr>
        <w:tabs>
          <w:tab w:pos="648" w:val="left"/>
        </w:tabs>
        <w:ind w:hanging="360" w:left="648"/>
      </w:pPr>
      <w:rPr>
        <w:rFonts w:ascii="Symbol" w:hAnsi="Symbol" w:hint="default"/>
      </w:rPr>
    </w:lvl>
    <w:lvl w:ilvl="1" w:tentative="0">
      <w:start w:val="1"/>
      <w:numFmt w:val="bullet"/>
      <w:lvlText w:val="o"/>
      <w:lvlJc w:val="left"/>
      <w:pPr>
        <w:tabs>
          <w:tab w:pos="1440" w:val="left"/>
        </w:tabs>
        <w:ind w:hanging="360" w:left="1440"/>
      </w:pPr>
      <w:rPr>
        <w:rFonts w:ascii="Courier New" w:hAnsi="Courier New" w:hint="default"/>
      </w:rPr>
    </w:lvl>
    <w:lvl w:ilvl="2" w:tentative="0">
      <w:start w:val="1"/>
      <w:numFmt w:val="bullet"/>
      <w:lvlText w:val=""/>
      <w:lvlJc w:val="left"/>
      <w:pPr>
        <w:tabs>
          <w:tab w:pos="2160" w:val="left"/>
        </w:tabs>
        <w:ind w:hanging="360" w:left="2160"/>
      </w:pPr>
      <w:rPr>
        <w:rFonts w:ascii="Wingdings" w:hAnsi="Wingdings" w:hint="default"/>
      </w:rPr>
    </w:lvl>
    <w:lvl w:ilvl="3" w:tentative="0">
      <w:start w:val="1"/>
      <w:numFmt w:val="bullet"/>
      <w:lvlText w:val=""/>
      <w:lvlJc w:val="left"/>
      <w:pPr>
        <w:tabs>
          <w:tab w:pos="2880" w:val="left"/>
        </w:tabs>
        <w:ind w:hanging="360" w:left="2880"/>
      </w:pPr>
      <w:rPr>
        <w:rFonts w:ascii="Symbol" w:hAnsi="Symbol" w:hint="default"/>
      </w:rPr>
    </w:lvl>
    <w:lvl w:ilvl="4" w:tentative="0">
      <w:start w:val="1"/>
      <w:numFmt w:val="bullet"/>
      <w:lvlText w:val="o"/>
      <w:lvlJc w:val="left"/>
      <w:pPr>
        <w:tabs>
          <w:tab w:pos="3600" w:val="left"/>
        </w:tabs>
        <w:ind w:hanging="360" w:left="3600"/>
      </w:pPr>
      <w:rPr>
        <w:rFonts w:ascii="Courier New" w:hAnsi="Courier New" w:hint="default"/>
      </w:rPr>
    </w:lvl>
    <w:lvl w:ilvl="5" w:tentative="0">
      <w:start w:val="1"/>
      <w:numFmt w:val="bullet"/>
      <w:lvlText w:val=""/>
      <w:lvlJc w:val="left"/>
      <w:pPr>
        <w:tabs>
          <w:tab w:pos="4320" w:val="left"/>
        </w:tabs>
        <w:ind w:hanging="360" w:left="4320"/>
      </w:pPr>
      <w:rPr>
        <w:rFonts w:ascii="Wingdings" w:hAnsi="Wingdings" w:hint="default"/>
      </w:rPr>
    </w:lvl>
    <w:lvl w:ilvl="6" w:tentative="0">
      <w:start w:val="1"/>
      <w:numFmt w:val="bullet"/>
      <w:lvlText w:val=""/>
      <w:lvlJc w:val="left"/>
      <w:pPr>
        <w:tabs>
          <w:tab w:pos="5040" w:val="left"/>
        </w:tabs>
        <w:ind w:hanging="360" w:left="5040"/>
      </w:pPr>
      <w:rPr>
        <w:rFonts w:ascii="Symbol" w:hAnsi="Symbol" w:hint="default"/>
      </w:rPr>
    </w:lvl>
    <w:lvl w:ilvl="7" w:tentative="0">
      <w:start w:val="1"/>
      <w:numFmt w:val="bullet"/>
      <w:lvlText w:val="o"/>
      <w:lvlJc w:val="left"/>
      <w:pPr>
        <w:tabs>
          <w:tab w:pos="5760" w:val="left"/>
        </w:tabs>
        <w:ind w:hanging="360" w:left="5760"/>
      </w:pPr>
      <w:rPr>
        <w:rFonts w:ascii="Courier New" w:hAnsi="Courier New" w:hint="default"/>
      </w:rPr>
    </w:lvl>
    <w:lvl w:ilvl="8" w:tentative="0">
      <w:start w:val="1"/>
      <w:numFmt w:val="bullet"/>
      <w:lvlText w:val=""/>
      <w:lvlJc w:val="left"/>
      <w:pPr>
        <w:tabs>
          <w:tab w:pos="6480" w:val="left"/>
        </w:tabs>
        <w:ind w:hanging="360" w:left="6480"/>
      </w:pPr>
      <w:rPr>
        <w:rFonts w:ascii="Wingdings" w:hAnsi="Wingdings" w:hint="default"/>
      </w:rPr>
    </w:lvl>
  </w:abstractNum>
  <w:abstractNum w:abstractNumId="2">
    <w:nsid w:val="4189603E"/>
    <w:multiLevelType w:val="multilevel"/>
    <w:tmpl w:val="4189603E"/>
    <w:lvl w:ilvl="0" w:tentative="0">
      <w:start w:val="1"/>
      <w:numFmt w:val="upperRoman"/>
      <w:pStyle w:val="2"/>
      <w:lvlText w:val="%1."/>
      <w:lvlJc w:val="center"/>
      <w:pPr>
        <w:tabs>
          <w:tab w:pos="576" w:val="left"/>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rPr>
    </w:lvl>
    <w:lvl w:ilvl="1" w:tentative="0">
      <w:start w:val="1"/>
      <w:numFmt w:val="upperLetter"/>
      <w:pStyle w:val="3"/>
      <w:lvlText w:val="%2."/>
      <w:lvlJc w:val="left"/>
      <w:pPr>
        <w:tabs>
          <w:tab w:pos="360" w:val="left"/>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2" w:tentative="0">
      <w:start w:val="1"/>
      <w:numFmt w:val="decimal"/>
      <w:pStyle w:val="4"/>
      <w:lvlText w:val="%3)"/>
      <w:lvlJc w:val="left"/>
      <w:pPr>
        <w:tabs>
          <w:tab w:pos="540" w:val="left"/>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3" w:tentative="0">
      <w:start w:val="1"/>
      <w:numFmt w:val="lowerLetter"/>
      <w:pStyle w:val="5"/>
      <w:lvlText w:val="%4)"/>
      <w:lvlJc w:val="left"/>
      <w:pPr>
        <w:tabs>
          <w:tab w:pos="630" w:val="left"/>
        </w:tabs>
        <w:ind w:firstLine="360"/>
      </w:pPr>
      <w:rPr>
        <w:rFonts w:ascii="Times New Roman" w:cs="Times New Roman" w:hAnsi="Times New Roman" w:hint="default"/>
        <w:b w:val="0"/>
        <w:bCs w:val="0"/>
        <w:i/>
        <w:iCs/>
        <w:sz w:val="20"/>
        <w:szCs w:val="20"/>
      </w:rPr>
    </w:lvl>
    <w:lvl w:ilvl="4" w:tentative="0">
      <w:start w:val="1"/>
      <w:numFmt w:val="none"/>
      <w:lvlRestart w:val="0"/>
      <w:lvlText w:val=""/>
      <w:lvlJc w:val="left"/>
      <w:pPr>
        <w:tabs>
          <w:tab w:pos="3240" w:val="left"/>
        </w:tabs>
        <w:ind w:left="2880"/>
      </w:pPr>
      <w:rPr>
        <w:rFonts w:cs="Times New Roman" w:hint="default"/>
      </w:rPr>
    </w:lvl>
    <w:lvl w:ilvl="5" w:tentative="0">
      <w:start w:val="1"/>
      <w:numFmt w:val="lowerLetter"/>
      <w:lvlText w:val="(%6)"/>
      <w:lvlJc w:val="left"/>
      <w:pPr>
        <w:tabs>
          <w:tab w:pos="3960" w:val="left"/>
        </w:tabs>
        <w:ind w:left="3600"/>
      </w:pPr>
      <w:rPr>
        <w:rFonts w:cs="Times New Roman" w:hint="default"/>
      </w:rPr>
    </w:lvl>
    <w:lvl w:ilvl="6" w:tentative="0">
      <w:start w:val="1"/>
      <w:numFmt w:val="lowerRoman"/>
      <w:lvlText w:val="(%7)"/>
      <w:lvlJc w:val="left"/>
      <w:pPr>
        <w:tabs>
          <w:tab w:pos="4680" w:val="left"/>
        </w:tabs>
        <w:ind w:left="4320"/>
      </w:pPr>
      <w:rPr>
        <w:rFonts w:cs="Times New Roman" w:hint="default"/>
      </w:rPr>
    </w:lvl>
    <w:lvl w:ilvl="7" w:tentative="0">
      <w:start w:val="1"/>
      <w:numFmt w:val="lowerLetter"/>
      <w:lvlText w:val="(%8)"/>
      <w:lvlJc w:val="left"/>
      <w:pPr>
        <w:tabs>
          <w:tab w:pos="5400" w:val="left"/>
        </w:tabs>
        <w:ind w:left="5040"/>
      </w:pPr>
      <w:rPr>
        <w:rFonts w:cs="Times New Roman" w:hint="default"/>
      </w:rPr>
    </w:lvl>
    <w:lvl w:ilvl="8" w:tentative="0">
      <w:start w:val="1"/>
      <w:numFmt w:val="lowerRoman"/>
      <w:lvlText w:val="(%9)"/>
      <w:lvlJc w:val="left"/>
      <w:pPr>
        <w:tabs>
          <w:tab w:pos="6120" w:val="left"/>
        </w:tabs>
        <w:ind w:left="5760"/>
      </w:pPr>
      <w:rPr>
        <w:rFonts w:cs="Times New Roman" w:hint="default"/>
      </w:rPr>
    </w:lvl>
  </w:abstractNum>
  <w:abstractNum w:abstractNumId="3">
    <w:nsid w:val="493C3F76"/>
    <w:multiLevelType w:val="multilevel"/>
    <w:tmpl w:val="493C3F76"/>
    <w:lvl w:ilvl="0" w:tentative="0">
      <w:start w:val="1"/>
      <w:numFmt w:val="lowerLetter"/>
      <w:pStyle w:val="27"/>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rPr>
    </w:lvl>
    <w:lvl w:ilvl="1" w:tentative="0">
      <w:start w:val="1"/>
      <w:numFmt w:val="lowerLetter"/>
      <w:lvlText w:val="%2."/>
      <w:lvlJc w:val="left"/>
      <w:pPr>
        <w:ind w:hanging="360" w:left="1440"/>
      </w:pPr>
    </w:lvl>
    <w:lvl w:ilvl="2" w:tentative="0">
      <w:start w:val="1"/>
      <w:numFmt w:val="lowerRoman"/>
      <w:lvlText w:val="%3."/>
      <w:lvlJc w:val="right"/>
      <w:pPr>
        <w:ind w:hanging="180" w:left="2160"/>
      </w:pPr>
    </w:lvl>
    <w:lvl w:ilvl="3" w:tentative="0">
      <w:start w:val="1"/>
      <w:numFmt w:val="decimal"/>
      <w:lvlText w:val="%4."/>
      <w:lvlJc w:val="left"/>
      <w:pPr>
        <w:ind w:hanging="360" w:left="2880"/>
      </w:pPr>
    </w:lvl>
    <w:lvl w:ilvl="4" w:tentative="0">
      <w:start w:val="1"/>
      <w:numFmt w:val="lowerLetter"/>
      <w:lvlText w:val="%5."/>
      <w:lvlJc w:val="left"/>
      <w:pPr>
        <w:ind w:hanging="360" w:left="3600"/>
      </w:pPr>
    </w:lvl>
    <w:lvl w:ilvl="5" w:tentative="0">
      <w:start w:val="1"/>
      <w:numFmt w:val="lowerRoman"/>
      <w:lvlText w:val="%6."/>
      <w:lvlJc w:val="right"/>
      <w:pPr>
        <w:ind w:hanging="180" w:left="4320"/>
      </w:pPr>
    </w:lvl>
    <w:lvl w:ilvl="6" w:tentative="0">
      <w:start w:val="1"/>
      <w:numFmt w:val="decimal"/>
      <w:lvlText w:val="%7."/>
      <w:lvlJc w:val="left"/>
      <w:pPr>
        <w:ind w:hanging="360" w:left="5040"/>
      </w:pPr>
    </w:lvl>
    <w:lvl w:ilvl="7" w:tentative="0">
      <w:start w:val="1"/>
      <w:numFmt w:val="lowerLetter"/>
      <w:lvlText w:val="%8."/>
      <w:lvlJc w:val="left"/>
      <w:pPr>
        <w:ind w:hanging="360" w:left="5760"/>
      </w:pPr>
    </w:lvl>
    <w:lvl w:ilvl="8" w:tentative="0">
      <w:start w:val="1"/>
      <w:numFmt w:val="lowerRoman"/>
      <w:lvlText w:val="%9."/>
      <w:lvlJc w:val="right"/>
      <w:pPr>
        <w:ind w:hanging="180" w:left="6480"/>
      </w:pPr>
    </w:lvl>
  </w:abstractNum>
  <w:abstractNum w:abstractNumId="4">
    <w:nsid w:val="52CA544A"/>
    <w:multiLevelType w:val="singleLevel"/>
    <w:tmpl w:val="52CA544A"/>
    <w:lvl w:ilvl="0" w:tentative="0">
      <w:start w:val="1"/>
      <w:numFmt w:val="decimal"/>
      <w:pStyle w:val="22"/>
      <w:lvlText w:val="[%1]"/>
      <w:lvlJc w:val="left"/>
      <w:pPr>
        <w:tabs>
          <w:tab w:pos="360" w:val="left"/>
        </w:tabs>
        <w:ind w:hanging="360" w:left="360"/>
      </w:pPr>
      <w:rPr>
        <w:rFonts w:ascii="Times New Roman" w:cs="Times New Roman" w:hAnsi="Times New Roman" w:hint="default"/>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hanging="360" w:left="360"/>
      </w:pPr>
      <w:rPr>
        <w:rFonts w:ascii="Times New Roman" w:cs="Times New Roman" w:hAnsi="Times New Roman" w:hint="default"/>
        <w:b w:val="0"/>
        <w:bCs w:val="0"/>
        <w:i w:val="0"/>
        <w:iCs w:val="0"/>
        <w:color w:val="auto"/>
        <w:sz w:val="16"/>
        <w:szCs w:val="16"/>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pos="1080" w:val="left"/>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 w:numId="1000">
    <w:abstractNumId w:val="990"/>
  </w:num>
</w:numbering>
</file>

<file path=word/settings.xml><?xml version="1.0" encoding="utf-8"?>
<w:settings xmlns:m="http://schemas.openxmlformats.org/officeDocument/2006/math" xmlns:ns1="urn:schemas-microsoft-com:office:office" xmlns:ns2="urn:schemas-microsoft-com:vml" xmlns:w="http://schemas.openxmlformats.org/wordprocessingml/2006/main">
  <w:zoom w:percent="120"/>
  <w:embedSystemFonts/>
  <w:proofState w:grammar="clean" w:spelling="clean"/>
  <w:stylePaneFormatFilter w:val="0004"/>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7F7C0272"/>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ns1:shapedefaults/>
    <ns1:shapelayout ns2:ext="edit">
      <ns1:idmap data="1" ns2:ext="edit"/>
    </ns1:shapelayout>
  </w:shapeDefaults>
  <w:decimalSymbol w:val="."/>
  <w:listSeparator w:val=","/>
  <m:mathPr>
    <m:mathFont m:val="Cambria Math"/>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3</Pages>
  <Words>2151</Words>
  <Characters>12267</Characters>
  <Lines>102</Lines>
  <Paragraphs>28</Paragraphs>
  <TotalTime>23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2026-10-05T18:20:57Z</dcterms:created>
  <dcterms:modified xsi:type="dcterms:W3CDTF">2026-10-05T18:20:57Z</dcterms:modified>
</cp:coreProperties>
</file>

<file path=docProps/custom.xml><?xml version="1.0" encoding="utf-8"?>
<Properties xmlns="http://schemas.openxmlformats.org/officeDocument/2006/custom-properties" xmlns:vt="http://schemas.openxmlformats.org/officeDocument/2006/docPropsVTypes"/>
</file>