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嵌入式实现提供依据。</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1B8FE646">
      <w:pPr>
        <w:pStyle w:val="2"/>
        <w:numPr>
          <w:ilvl w:val="0"/>
          <w:numId w:val="0"/>
        </w:numPr>
        <w:snapToGrid w:val="0"/>
      </w:pPr>
      <w:bookmarkStart w:id="2" w:name="iii.-提出的方法proposed-method"/>
      <w:r>
        <w:t>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sz w:val="20"/>
        </w:rPr>
      </w:pPr>
      <w:r>
        <w:rPr>
          <w:rFonts w:hint="eastAsia"/>
          <w:sz w:val="20"/>
          <w:szCs w:val="20"/>
        </w:rPr>
        <w:t>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 [1]。</w:t>
      </w:r>
    </w:p>
    <w:p w14:paraId="6F10A102">
      <w:pPr>
        <w:pStyle w:val="7"/>
        <w:numPr>
          <w:ilvl w:val="0"/>
          <w:numId w:val="0"/>
        </w:numPr>
        <w:snapToGrid w:val="0"/>
        <w:rPr>
          <w:sz w:val="20"/>
        </w:rPr>
      </w:pPr>
      <w:r>
        <w:rPr>
          <w:rFonts w:hint="eastAsia"/>
          <w:sz w:val="20"/>
          <w:szCs w:val="20"/>
        </w:rPr>
        <w:t>机械臂模块安装于底盘上方，由六轴串联机械臂和夹爪组成。机械臂采用肘式臂与球腕结构，并按 Denavit–Hartenberg（DH）法定义关节坐标系；前三个关节主要确定腕心位置，后三个关节确定末端姿态；夹爪的开合自由度用于抓取。机械臂连杆采用碳纤维板与铝制加工件，夹爪采用连杆与滑轨机构 [1]。</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并联机构测量三维位置，以安装在动平台上的三编码器手柄测量姿态。平行四边形从动臂使动平台始终与静平台保持平行，将平移输入与姿态输入分离；手柄从 j1 到 j3 依次对应动轴滚转（roll）、俯仰（pitch）和偏航（yaw），简称 RPY。主手通过正运动学获得位置和姿态，并经无线链路向作为从手的机械臂发送位姿指令；主手的力矩前馈用于补偿自身重力，减轻静态持握负担。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126105"/>
            <wp:effectExtent l="0" t="0" r="7620" b="762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3060000" cy="312657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所示。底盘接收期望平动速度、加速度、基准高度及滚转、俯仰姿态角，分为关节控制器、麦克纳姆轮控制器和模型前馈三路。姿态角度—角速度双环比例（proportional，P）控制器根据惯性测量单元（inertial measurement unit，IMU）的反馈产生等效腿长增量，经累加、腿高分配和腿部逆运动学得到目标关节角，再由单关节位置—速度串级比例–积分–微分（proportional–integral–derivative，PID）控制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表示前馈（feedforward）。</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 xml:space="preserve">点号表示对时间求导，带期望标记时表示对应导数量的参考值；</w:t>
      </w:r>
      <m:oMath>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Delta 静平台，原点位于静平台中心，轴向按 I-D 节定义。上述坐标系均采用右手约定，主手位姿须经坐标变换后用于从端逆运动学。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 xml:space="preserve">1) 概述</w:t>
      </w:r>
      <w:r>
        <w:rPr>
          <w:rFonts w:hint="eastAsia"/>
        </w:rPr>
        <w:t xml:space="preserve"/>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前后腿采用相同的几何参数，左右腿呈镜像布置。机身采用上下分层框架，上层以碳纤维方管和板件构成承载结构，下层采用铝方管，并在框架内部布置电源、电气元件、线束及机械臂基座传动组件。底部导向滚轮用于辅助接触过渡并减少底面刮擦。</w:t>
      </w:r>
    </w:p>
    <w:p w14:paraId="7A110001">
      <w:pPr>
        <w:pStyle w:val="7"/>
        <w:numPr>
          <w:ilvl w:val="0"/>
          <w:numId w:val="0"/>
        </w:numPr>
        <w:snapToGrid w:val="0"/>
        <w:rPr>
          <w:sz w:val="20"/>
        </w:rPr>
      </w:pPr>
      <w:r>
        <w:rPr>
          <w:rFonts w:ascii="Times New Roman" w:hAnsi="Times New Roman" w:eastAsia="宋体"/>
          <w:sz w:val="20"/>
          <w:szCs w:val="20"/>
        </w:rPr>
        <w:t xml:space="preserve">两路腿部驱动同轴集中布置于髋部，其中一路直接驱动大腿，另一路通过平行四边形连杆向小腿传递运动与力矩。该布置使膝部无需安装随腿摆动的驱动电机，并使轮心定位可采用等效二转动关节模型描述。杆件上的局部镂空与走线槽分别服务于减重和线束布置，便于结构与电气系统集成。</w:t>
      </w:r>
    </w:p>
    <w:p w14:paraId="7A110002">
      <w:pPr>
        <w:pStyle w:val="7"/>
        <w:numPr>
          <w:ilvl w:val="0"/>
          <w:numId w:val="0"/>
        </w:numPr>
        <w:snapToGrid w:val="0"/>
        <w:rPr>
          <w:sz w:val="20"/>
        </w:rPr>
      </w:pPr>
      <w:r>
        <w:rPr>
          <w:rFonts w:ascii="Times New Roman" w:hAnsi="Times New Roman" w:eastAsia="宋体"/>
          <w:sz w:val="20"/>
          <w:szCs w:val="20"/>
        </w:rPr>
        <w:t xml:space="preserve">控制采用“单腿建模—整机合力分配—关节执行”的分层结构。腿部关节调整支撑高度与前后轮心位置，车轮负责平面滚动。</w:t>
      </w:r>
    </w:p>
    <w:p w14:paraId="6F10B002">
      <w:pPr>
        <w:pStyle w:val="4"/>
        <w:numPr>
          <w:ilvl w:val="2"/>
          <w:numId w:val="0"/>
        </w:numPr>
        <w:snapToGrid w:val="0"/>
      </w:pPr>
      <w:r>
        <w:t xml:space="preserve">2) 单腿运动学</w:t>
      </w:r>
      <w:r>
        <w:rPr>
          <w:rFonts w:hint="eastAsia"/>
        </w:rPr>
        <w:t xml:space="preserve"/>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SimSun"/>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m:rP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 xml:space="preserve">3) 麦克纳姆轮运动学</w:t>
      </w:r>
      <w:r>
        <w:rPr>
          <w:rFonts w:hint="eastAsia"/>
        </w:rPr>
        <w:t xml:space="preserve"/>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ascii="Times New Roman" w:hAnsi="Times New Roman" w:eastAsia="宋体"/>
          <w:sz w:val="20"/>
          <w:szCs w:val="20"/>
        </w:rPr>
        <w:t xml:space="preserve">用 </w:t>
      </w:r>
      <m:oMath>
        <m:sSub>
          <m:e>
            <m:r>
              <m:rPr>
                <m:sty m:val="bi"/>
              </m:rPr>
              <w:rPr>
                <w:rFonts w:ascii="Cambria Math" w:hAnsi="Cambria Math" w:eastAsia="Cambria Math" w:cs="Cambria Math"/>
                <w:sz w:val="20"/>
                <w:szCs w:val="20"/>
              </w:rPr>
              <m:t>v</m:t>
            </m:r>
          </m:e>
          <m:sub>
            <m:r>
              <m:rPr>
                <m:sty m:val="i"/>
              </m:rPr>
              <w:rPr>
                <w:rFonts w:ascii="Cambria Math" w:hAnsi="Cambria Math" w:eastAsia="Cambria Math" w:cs="Cambria Math"/>
                <w:sz w:val="20"/>
                <w:szCs w:val="20"/>
              </w:rPr>
              <m:t>i</m:t>
            </m:r>
          </m:sub>
        </m:sSub>
      </m:oMath>
      <w:r>
        <w:rPr>
          <w:rFonts w:ascii="Times New Roman" w:hAnsi="Times New Roman" w:eastAsia="宋体"/>
          <w:sz w:val="20"/>
          <w:szCs w:val="20"/>
        </w:rPr>
        <w:t xml:space="preserve"> 表示第 i 个轮心相对惯性系的速度，其分量在机体系中表示。</w:t>
      </w: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为基座原点速度，机身角速度为 </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ascii="Times New Roman" w:hAnsi="Times New Roman" w:eastAsia="宋体"/>
          <w:sz w:val="20"/>
          <w:szCs w:val="20"/>
        </w:rPr>
        <w:t xml:space="preserve">轮毂自转角速度标量记为 </w:t>
      </w:r>
      <m:oMath>
        <m:sSub>
          <m:e>
            <m:r>
              <m:rPr>
                <m:sty m:val="i"/>
              </m:rPr>
              <w:rPr>
                <w:rFonts w:ascii="Cambria Math" w:hAnsi="Cambria Math" w:eastAsia="Cambria Math" w:cs="Cambria Math"/>
                <w:sz w:val="20"/>
                <w:szCs w:val="20"/>
              </w:rPr>
              <m:t>ω</m:t>
            </m:r>
          </m:e>
          <m:sub>
            <m:r>
              <m:rPr>
                <m:sty m:val="i"/>
              </m:rPr>
              <w:rPr>
                <w:rFonts w:ascii="Cambria Math" w:hAnsi="Cambria Math" w:eastAsia="Cambria Math" w:cs="Cambria Math"/>
                <w:sz w:val="20"/>
                <w:szCs w:val="20"/>
              </w:rPr>
              <m:t>i</m:t>
            </m:r>
          </m:sub>
        </m:sSub>
      </m:oMath>
      <w:r>
        <w:rPr>
          <w:rFonts w:ascii="Times New Roman" w:hAnsi="Times New Roman" w:eastAsia="宋体"/>
          <w:sz w:val="20"/>
          <w:szCs w:val="20"/>
        </w:rPr>
        <w:t xml:space="preserve">。</w:t>
      </w: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式 (8)保留了普通车轮的滚动项与辊子带来的侧向项。轮毂相对小腿的编码器速度与绝对自转速度还相差小腿绕轮轴的转速；腿部运动时应进行相应补偿。</w:t>
      </w:r>
    </w:p>
    <w:bookmarkEnd w:id="6"/>
    <w:p w14:paraId="5844043D">
      <w:pPr>
        <w:pStyle w:val="4"/>
        <w:numPr>
          <w:ilvl w:val="2"/>
          <w:numId w:val="0"/>
        </w:numPr>
        <w:snapToGrid w:val="0"/>
      </w:pPr>
      <w:bookmarkStart w:id="7" w:name="轮体动力学与足端力映射"/>
      <w:r>
        <w:t xml:space="preserve">4) 轮体动力学与足端力映射</w:t>
      </w:r>
      <w:r>
        <w:rPr>
          <w:rFonts w:hint="eastAsia"/>
        </w:rPr>
        <w:t xml:space="preserve"/>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直接对所有连杆求解完整动力学会增加参数标定与实时计算负担。本文采用分层建模方法，先对具有独立质量的轮体建模，再通过虚功原理将轮端载荷映射到腿部驱动。Fig.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该表达式取轮轴方向投影；其余方向的约束力矩由轴承和机构承担。低速实现中忽略陀螺项，快速转动时则需考虑惯性耦合。</w:t>
      </w:r>
      <w:r>
        <w:rPr>
          <w:rFonts w:ascii="Times New Roman" w:hAnsi="Times New Roman" w:eastAsia="宋体"/>
          <w:sz w:val="20"/>
          <w:szCs w:val="20"/>
        </w:rPr>
        <w:t xml:space="preserve">其中，</w:t>
      </w:r>
      <m:oMath>
        <m:sSub>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为轮体关于质心的惯性张量，</w:t>
      </w:r>
      <m:oMath>
        <m:sSub>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m:oMath>
        <m:r>
          <m:rPr>
            <m:sty m:val="i"/>
          </m:rPr>
          <w:rPr>
            <w:rFonts w:ascii="Cambria Math" w:hAnsi="Cambria Math" w:eastAsia="Cambria Math" w:cs="Cambria Math"/>
            <w:sz w:val="20"/>
            <w:szCs w:val="20"/>
          </w:rPr>
          <m:t>δ</m:t>
        </m:r>
        <m:sSub>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ascii="Times New Roman" w:hAnsi="Times New Roman" w:eastAsia="宋体"/>
          <w:sz w:val="20"/>
          <w:szCs w:val="20"/>
        </w:rPr>
        <w:t xml:space="preserve"> 表示虚关节位移。</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7"/>
    <w:p w14:paraId="5DC355BB">
      <w:pPr>
        <w:pStyle w:val="4"/>
        <w:numPr>
          <w:ilvl w:val="2"/>
          <w:numId w:val="0"/>
        </w:numPr>
        <w:snapToGrid w:val="0"/>
      </w:pPr>
      <w:bookmarkStart w:id="8" w:name="整机单刚体动力学"/>
      <w:r>
        <w:t xml:space="preserve">5) 整机单刚体动力学</w:t>
      </w:r>
      <w:r>
        <w:rPr>
          <w:rFonts w:hint="eastAsia"/>
        </w:rPr>
        <w:t xml:space="preserve"/>
      </w:r>
    </w:p>
    <w:p w14:paraId="7686BD07">
      <w:pPr>
        <w:pStyle w:val="7"/>
        <w:numPr>
          <w:ilvl w:val="0"/>
          <w:numId w:val="0"/>
        </w:numPr>
        <w:snapToGrid w:val="0"/>
        <w:rPr>
          <w:sz w:val="20"/>
        </w:rPr>
      </w:pP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ascii="Times New Roman" w:hAnsi="Times New Roman" w:eastAsia="宋体"/>
          <w:sz w:val="20"/>
          <w:szCs w:val="20"/>
        </w:rPr>
        <w:t xml:space="preserve">将整机动力学方程统一写在惯性系下。</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 xml:space="preserve">。令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ascii="Times New Roman" w:hAnsi="Times New Roman" w:eastAsia="宋体"/>
          <w:sz w:val="20"/>
          <w:szCs w:val="20"/>
        </w:rPr>
        <w:t xml:space="preserve">其中，</w:t>
      </w:r>
      <m:oMath>
        <m:r>
          <m:rPr>
            <m:sty m:val="b"/>
          </m:rPr>
          <w:rPr>
            <w:rFonts w:ascii="Cambria Math" w:hAnsi="Cambria Math" w:eastAsia="Cambria Math" w:cs="Cambria Math"/>
            <w:sz w:val="20"/>
            <w:szCs w:val="20"/>
          </w:rPr>
          <m:t>H</m:t>
        </m:r>
      </m:oMath>
      <w:r>
        <w:rPr>
          <w:rFonts w:ascii="Times New Roman" w:hAnsi="Times New Roman" w:eastAsia="宋体"/>
          <w:sz w:val="20"/>
          <w:szCs w:val="20"/>
        </w:rPr>
        <w:t xml:space="preserve"> 将各接触力映射为整机合力与合力矩，</w:t>
      </w:r>
      <m:oMath>
        <m:sSub>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rFonts w:ascii="Times New Roman" w:hAnsi="Times New Roman" w:eastAsia="宋体"/>
          <w:sz w:val="20"/>
          <w:szCs w:val="20"/>
        </w:rPr>
        <w:t xml:space="preserve"> 为四轮接触力的堆叠向量，</w:t>
      </w:r>
      <m:oMath>
        <m:sSub>
          <m:e>
            <m:r>
              <m:rPr>
                <m:sty m:val="b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dyn</m:t>
            </m:r>
          </m:sub>
        </m:sSub>
      </m:oMath>
      <w:r>
        <w:rPr>
          <w:rFonts w:ascii="Times New Roman" w:hAnsi="Times New Roman" w:eastAsia="宋体"/>
          <w:sz w:val="20"/>
          <w:szCs w:val="20"/>
        </w:rPr>
        <w:t xml:space="preserve"> 为所需接触合力与合力矩组成的向量。</w:t>
      </w: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eastAsia="zh-CN"/>
        </w:rPr>
        <w:t>此</w:t>
      </w:r>
      <w:r>
        <w:rPr>
          <w:rFonts w:hint="eastAsia"/>
          <w:sz w:val="20"/>
          <w:szCs w:val="20"/>
        </w:rPr>
        <w:t>近似</w:t>
      </w:r>
      <w:r>
        <w:rPr>
          <w:rFonts w:hint="eastAsia"/>
          <w:sz w:val="20"/>
          <w:szCs w:val="20"/>
          <w:lang w:eastAsia="zh-CN"/>
        </w:rPr>
        <w:t>精度较高</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8"/>
    <w:p w14:paraId="1F9BE2B0">
      <w:pPr>
        <w:pStyle w:val="4"/>
        <w:numPr>
          <w:ilvl w:val="2"/>
          <w:numId w:val="0"/>
        </w:numPr>
        <w:snapToGrid w:val="0"/>
      </w:pPr>
      <w:bookmarkStart w:id="9" w:name="姿态控制器"/>
      <w:r>
        <w:t xml:space="preserve">6) 姿态控制器</w:t>
      </w:r>
      <w:r>
        <w:rPr>
          <w:rFonts w:hint="eastAsia"/>
        </w:rPr>
        <w:t xml:space="preserve"/>
      </w:r>
    </w:p>
    <w:p w14:paraId="3D05A0BA">
      <w:pPr>
        <w:pStyle w:val="7"/>
        <w:numPr>
          <w:ilvl w:val="0"/>
          <w:numId w:val="0"/>
        </w:numPr>
        <w:snapToGrid w:val="0"/>
        <w:rPr>
          <w:sz w:val="20"/>
        </w:rPr>
      </w:pPr>
      <w:r>
        <w:rPr>
          <w:rFonts w:hint="eastAsia"/>
          <w:sz w:val="20"/>
          <w:szCs w:val="20"/>
        </w:rPr>
        <w:t>固定腿部关节姿态难以适应地面高度变化。本文根据姿态误差增量调整腿长，以惯性测量单元（IMU）提供的滚转角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为姿态角误差，单位均为弧度。</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为角度环给出的期望角速度，单位为弧度每秒。</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为上一周期的值；高度修正量及其增量的单位均为米。</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分别为前后、左右轮心间距的一半，均为正值，上述长度的单位均为米。在四腿近似对称、小姿态角和触点高度暂时固定的条件下，可将修正分配为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SimSun"/>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条腿的期望支撑高度，均以向下为正、单位为米；</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底盘姿态控制器闭环方框图。滚转与俯仰分别采用(18)的双环 P 控制及高度增量累加，两轴修正量经(19)共同分配至四腿；关节伺服内环合并表示。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机械臂模块</w:t>
      </w:r>
    </w:p>
    <w:p w14:paraId="7A110003">
      <w:pPr>
        <w:pStyle w:val="4"/>
        <w:numPr>
          <w:ilvl w:val="2"/>
          <w:numId w:val="0"/>
        </w:numPr>
        <w:snapToGrid w:val="0"/>
      </w:pPr>
      <w:r>
        <w:rPr>
          <w:rFonts w:ascii="Times New Roman" w:hAnsi="Times New Roman" w:eastAsia="宋体"/>
          <w:sz w:val="20"/>
          <w:szCs w:val="20"/>
        </w:rPr>
        <w:t xml:space="preserve">1) 结构概述</w:t>
      </w:r>
    </w:p>
    <w:p w14:paraId="7A110004">
      <w:pPr>
        <w:pStyle w:val="7"/>
        <w:numPr>
          <w:ilvl w:val="0"/>
          <w:numId w:val="0"/>
        </w:numPr>
        <w:snapToGrid w:val="0"/>
        <w:rPr>
          <w:sz w:val="20"/>
        </w:rPr>
      </w:pPr>
      <w:r>
        <w:rPr>
          <w:rFonts w:ascii="Times New Roman" w:hAnsi="Times New Roman" w:eastAsia="宋体"/>
          <w:sz w:val="20"/>
          <w:szCs w:val="20"/>
        </w:rPr>
        <w:t xml:space="preserve">机械臂由六个转动关节和末端连杆式夹爪组成，分别承担空间位姿调整与抓取动作。主体采用碳纤维板与铝制连接件组合的结构，关节通过齿轮及连杆传动传递运动；双侧支承和榫卯配合用于辅助部件定位与装配。结构设计围绕关节轴线、连杆中心距和工具安装关系展开，为基于 DH 坐标系的运动学建模提供几何依据。</w:t>
      </w:r>
    </w:p>
    <w:p w14:paraId="7A110005">
      <w:pPr>
        <w:pStyle w:val="4"/>
        <w:numPr>
          <w:ilvl w:val="2"/>
          <w:numId w:val="0"/>
        </w:numPr>
        <w:snapToGrid w:val="0"/>
      </w:pPr>
      <w:r>
        <w:rPr>
          <w:rFonts w:ascii="Times New Roman" w:hAnsi="Times New Roman" w:eastAsia="宋体"/>
          <w:sz w:val="20"/>
          <w:szCs w:val="20"/>
        </w:rPr>
        <w:t xml:space="preserve">2) 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六轴机械臂采用肘式臂与球腕结构，末三轴交于腕心，可将逆解分为前三轴定位和后三轴定姿。关节坐标系与连杆尺寸如 Fig. 8 所示。给定基坐标系 {0} 下的末端目标位置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，按照本文的工具坐标约定，腕心位置由末端沿工具负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 得到，记为 </w:t>
      </w:r>
      <m:oMath>
        <m:sSub>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 xml:space="preserve">(a)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256"/>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8"/>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 xml:space="preserve">(b) Joint coordinate frames</w:t>
      </w:r>
    </w:p>
    <w:p w14:paraId="1428A8F6">
      <w:pPr>
        <w:pStyle w:val="18"/>
        <w:numPr>
          <w:ilvl w:val="0"/>
          <w:numId w:val="0"/>
        </w:numPr>
        <w:snapToGrid w:val="0"/>
      </w:pPr>
      <w:r>
        <w:rPr>
          <w:iCs/>
        </w:rPr>
        <w:t xml:space="preserve">Fig. 8. 六轴机械臂关节坐标系。（a）侧视图上的坐标系对应位置。（b）关节坐标系与连杆尺寸定义。坐标系 2、3 的原点重合，坐标系 4、5 的原点重合。</w:t>
      </w:r>
      <w:r>
        <w:rPr>
          <w:rFonts w:hint="eastAsia"/>
          <w:iCs/>
        </w:rPr>
        <w:t xml:space="preserve"/>
      </w:r>
      <w:r>
        <w:rPr>
          <w:rFonts w:hint="eastAsia"/>
          <w:iCs/>
          <w:lang w:eastAsia="zh-CN"/>
        </w:rPr>
        <w:t xml:space="preserve"/>
      </w:r>
      <w:r>
        <w:rPr>
          <w:rFonts w:hint="eastAsia"/>
          <w:iCs/>
        </w:rPr>
        <w:t xml:space="preserve"/>
      </w:r>
    </w:p>
    <w:p w14:paraId="6F10C801">
      <w:pPr>
        <w:pStyle w:val="7"/>
        <w:numPr>
          <w:ilvl w:val="0"/>
          <w:numId w:val="0"/>
        </w:numPr>
        <w:snapToGrid w:val="0"/>
        <w:rPr>
          <w:sz w:val="20"/>
        </w:rPr>
      </w:pPr>
      <w:r>
        <w:rPr>
          <w:rFonts w:ascii="Times New Roman" w:hAnsi="Times New Roman" w:eastAsia="宋体"/>
          <w:sz w:val="20"/>
          <w:szCs w:val="20"/>
        </w:rPr>
        <w:t xml:space="preserve">关节角记为 </w:t>
      </w:r>
      <m:oMath>
        <m:sSub>
          <m:e>
            <m:r>
              <m:rPr>
                <m:sty m:val="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m:sty m:val="i"/>
              </m:rPr>
              <w:rPr>
                <w:rFonts w:ascii="Cambria Math" w:hAnsi="Cambria Math" w:eastAsia="Cambria Math" w:cs="Cambria Math"/>
                <w:sz w:val="20"/>
                <w:szCs w:val="20"/>
              </w:rPr>
              <m:t>j</m:t>
            </m:r>
          </m:sub>
        </m:sSub>
      </m:oMath>
      <w:r>
        <w:rPr>
          <w:rFonts w:ascii="Times New Roman" w:hAnsi="Times New Roman" w:eastAsia="宋体"/>
          <w:sz w:val="20"/>
          <w:szCs w:val="20"/>
        </w:rPr>
        <w:t xml:space="preserve">（</w:t>
      </w:r>
      <m:oMath>
        <m:r>
          <m:rPr>
            <m:sty m:val="i"/>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 xml:space="preserve">），末端位置和姿态均相对于基坐标系 {0} 表示。</w:t>
      </w:r>
      <m:oMath>
        <m:sSub>
          <m:e>
            <m:r>
              <m:rPr>
                <m:sty m:val="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w:t>
      </w:r>
    </w:p>
    <w:p w14:paraId="2743674C">
      <w:pPr>
        <w:pStyle w:val="7"/>
        <w:numPr>
          <w:ilvl w:val="0"/>
          <w:numId w:val="0"/>
        </w:numPr>
        <w:snapToGrid w:val="0"/>
        <w:rPr>
          <w:sz w:val="20"/>
        </w:rPr>
      </w:pPr>
      <w:r>
        <w:rPr>
          <w:rFonts w:hint="eastAsia"/>
          <w:sz w:val="20"/>
          <w:szCs w:val="20"/>
          <w:lang w:eastAsia="zh-CN"/>
        </w:rPr>
        <w:t>将坐标系 4、5 的重合原点定义为腕心，</w:t>
      </w:r>
      <w:r>
        <w:rPr>
          <w:rFonts w:hint="eastAsia"/>
          <w:sz w:val="20"/>
          <w:szCs w:val="20"/>
          <w:lang w:val="en-US" w:eastAsia="zh-CN"/>
        </w:rPr>
        <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。按图示连杆参数与关节零位定义，</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，由平面三角形余弦定理，正对高臂分支为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由前三轴关节角确定坐标系 {3} 到 {0} 的旋转矩阵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ascii="Times New Roman" w:hAnsi="Times New Roman" w:eastAsia="宋体"/>
          <w:sz w:val="20"/>
          <w:szCs w:val="20"/>
        </w:rPr>
        <w:t xml:space="preserve">；</w:t>
      </w:r>
      <m:oMath>
        <m:sSub>
          <m:e>
            <m:r>
              <m:rPr>
                <m:sty m:val="i"/>
              </m:rPr>
              <w:rPr>
                <w:rFonts w:ascii="Cambria Math" w:hAnsi="Cambria Math" w:eastAsia="Cambria Math" w:cs="Cambria Math"/>
                <w:sz w:val="20"/>
                <w:szCs w:val="20"/>
              </w:rPr>
              <m:t>θ</m:t>
            </m:r>
          </m:e>
          <m:sub>
            <m:r>
              <m:rPr>
                <m:sty m:val="i"/>
              </m:rPr>
              <w:rPr>
                <w:rFonts w:ascii="Cambria Math" w:hAnsi="Cambria Math" w:eastAsia="Cambria Math" w:cs="Cambria Math"/>
                <w:sz w:val="20"/>
                <w:szCs w:val="20"/>
              </w:rPr>
              <m:t>j</m:t>
            </m:r>
          </m:sub>
        </m:sSub>
      </m:oMath>
      <w:r>
        <w:rPr>
          <w:rFonts w:ascii="Times New Roman" w:hAnsi="Times New Roman" w:eastAsia="宋体"/>
          <w:sz w:val="20"/>
          <w:szCs w:val="20"/>
        </w:rPr>
        <w:t xml:space="preserve"> 为标准 DH 关节角，其中</w:t>
      </w:r>
      <w:r>
        <w:rPr>
          <w:rFonts w:hint="eastAsia"/>
          <w:sz w:val="20"/>
          <w:szCs w:val="20"/>
        </w:rPr>
        <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为零位偏置。按本文的球腕坐标约定，在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rFonts w:hint="eastAsia" w:eastAsia="SimSun"/>
          <w:sz w:val="20"/>
          <w:lang w:eastAsia="zh-CN"/>
        </w:rPr>
      </w:pPr>
      <w:r>
        <w:rPr>
          <w:rFonts w:hint="eastAsia"/>
          <w:sz w:val="20"/>
          <w:szCs w:val="20"/>
        </w:rPr>
        <w:t>对候选解进行位姿回代检查，选择与上一时刻关节角最接近的可行分支</w:t>
      </w:r>
      <w:r>
        <w:rPr>
          <w:rFonts w:hint="eastAsia"/>
          <w:sz w:val="20"/>
          <w:szCs w:val="20"/>
          <w:lang w:eastAsia="zh-CN"/>
        </w:rPr>
        <w:t>。</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结构概述</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w:t>
      </w:r>
      <w:r>
        <w:rPr>
          <w:sz w:val="20"/>
          <w:szCs w:val="20"/>
        </w:rPr>
        <w:t xml:space="preserve">。</w:t>
      </w:r>
    </w:p>
    <w:p w14:paraId="7A110006">
      <w:pPr>
        <w:pStyle w:val="7"/>
        <w:numPr>
          <w:ilvl w:val="0"/>
          <w:numId w:val="0"/>
        </w:numPr>
        <w:snapToGrid w:val="0"/>
        <w:rPr>
          <w:sz w:val="20"/>
        </w:rPr>
      </w:pPr>
      <w:r>
        <w:rPr>
          <w:rFonts w:ascii="Times New Roman" w:hAnsi="Times New Roman" w:eastAsia="宋体"/>
          <w:sz w:val="20"/>
          <w:szCs w:val="20"/>
        </w:rPr>
        <w:t xml:space="preserve">控制器的固定支架与连杆采用碳纤维板件，动平台和手柄采用聚乳酸（polylactic acid，PLA）三维打印件，以减少随手部运动的部件质量并便于装配。手柄侧面的操作参考点重置按钮用于分段重新定位；在保持从端当前目标位姿连续的前提下，重新设置主从位置映射的参考点，即可继续输入后续操作指令。</w:t>
      </w:r>
    </w:p>
    <w:p w14:paraId="7A110007">
      <w:pPr>
        <w:pStyle w:val="4"/>
        <w:numPr>
          <w:ilvl w:val="2"/>
          <w:numId w:val="0"/>
        </w:numPr>
        <w:snapToGrid w:val="0"/>
      </w:pPr>
      <w:r>
        <w:rPr>
          <w:rFonts w:ascii="Times New Roman" w:hAnsi="Times New Roman" w:eastAsia="宋体"/>
          <w:sz w:val="20"/>
          <w:szCs w:val="20"/>
        </w:rPr>
        <w:t xml:space="preserve">2) 正运动学</w:t>
      </w:r>
    </w:p>
    <w:p w14:paraId="7A110008">
      <w:pPr>
        <w:pStyle w:val="7"/>
        <w:numPr>
          <w:ilvl w:val="0"/>
          <w:numId w:val="0"/>
        </w:numPr>
        <w:snapToGrid w:val="0"/>
        <w:rPr>
          <w:sz w:val="20"/>
        </w:rPr>
      </w:pPr>
      <w:r>
        <w:rPr>
          <w:rFonts w:ascii="Times New Roman" w:hAnsi="Times New Roman" w:eastAsia="宋体"/>
          <w:sz w:val="20"/>
          <w:szCs w:val="20"/>
        </w:rPr>
        <w:t xml:space="preserve">Delta 机构的几何参数列于 TABLE II。以下沿用系统结构中定义的平台基座坐标系 {D}，建立三条支链的几何约束。</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4"/>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指向第一支链的静平台连接点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5"/>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[1]）</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e>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 xml:space="preserve">，其中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从二次方程候选根中</w:t>
      </w:r>
      <w:r>
        <w:rPr>
          <w:rFonts w:hint="eastAsia"/>
          <w:sz w:val="20"/>
          <w:szCs w:val="20"/>
        </w:rPr>
        <w:t>选择满足工作侧、机构装配分支和连续性条件的根。</w:t>
      </w:r>
    </w:p>
    <w:bookmarkEnd w:id="12"/>
    <w:p w14:paraId="01EF466D">
      <w:pPr>
        <w:pStyle w:val="4"/>
        <w:numPr>
          <w:ilvl w:val="2"/>
          <w:numId w:val="0"/>
        </w:numPr>
        <w:snapToGrid w:val="0"/>
      </w:pPr>
      <w:bookmarkStart w:id="13" w:name="雅可比与力矩前馈"/>
      <w:r>
        <w:t xml:space="preserve">3) </w:t>
      </w:r>
      <w:r>
        <w:rPr>
          <w:rFonts w:hint="eastAsia"/>
        </w:rPr>
        <w:t>雅可比与力矩前馈</w:t>
      </w:r>
    </w:p>
    <w:p w14:paraId="79ABCD24">
      <w:pPr>
        <w:pStyle w:val="7"/>
        <w:numPr>
          <w:ilvl w:val="0"/>
          <w:numId w:val="0"/>
        </w:numPr>
        <w:snapToGrid w:val="0"/>
        <w:rPr>
          <w:rFonts w:hint="default" w:eastAsia="SimSun"/>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r>
        <w:rPr>
          <w:rFonts w:hint="eastAsia"/>
          <w:sz w:val="20"/>
          <w:szCs w:val="20"/>
          <w:lang w:val="en-US" w:eastAsia="zh-CN"/>
        </w:rPr>
        <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rFonts w:hint="eastAsia" w:eastAsia="SimSun"/>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4)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，单位为弧度。j1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r>
        <w:rPr>
          <w:rFonts w:ascii="Times New Roman" w:hAnsi="Times New Roman" w:eastAsia="宋体"/>
          <w:sz w:val="20"/>
          <w:szCs w:val="20"/>
        </w:rPr>
        <w:t xml:space="preserve">其中，</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x</m:t>
            </m:r>
          </m:sub>
        </m:sSub>
      </m:oMath>
      <w:r>
        <w:rPr>
          <w:rFonts w:ascii="Times New Roman" w:hAnsi="Times New Roman" w:eastAsia="宋体"/>
          <w:sz w:val="20"/>
          <w:szCs w:val="20"/>
        </w:rPr>
        <w:t xml:space="preserve">、</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y</m:t>
            </m:r>
          </m:sub>
        </m:sSub>
      </m:oMath>
      <w:r>
        <w:rPr>
          <w:rFonts w:ascii="Times New Roman" w:hAnsi="Times New Roman" w:eastAsia="宋体"/>
          <w:sz w:val="20"/>
          <w:szCs w:val="20"/>
        </w:rPr>
        <w:t xml:space="preserve">、</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分别为绕相应坐标轴的右手基本旋转矩阵。</w:t>
      </w:r>
    </w:p>
    <w:p w14:paraId="39B0740A">
      <w:pPr>
        <w:pStyle w:val="7"/>
        <w:numPr>
          <w:ilvl w:val="0"/>
          <w:numId w:val="0"/>
        </w:numPr>
        <w:snapToGrid w:val="0"/>
        <w:rPr>
          <w:sz w:val="20"/>
        </w:rPr>
      </w:pPr>
      <w:r>
        <w:rPr>
          <w:rFonts w:hint="eastAsia"/>
          <w:sz w:val="20"/>
          <w:szCs w:val="20"/>
        </w:rPr>
        <w:t xml:space="preserve">将从端机械臂基坐标系记为 {A}，与 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将(33)的目标位置和姿态重新组合，得到从端末端相对机械臂基座的目标齐次变换矩阵：</w:t>
      </w:r>
      <w:bookmarkStart w:id="18" w:name="_GoBack"/>
      <w:bookmarkEnd w:id="18"/>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I-C 节的末端目标姿态和位置，关节指令由解析逆运动学（inverse kinematics，IK）映射得到：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具体而言，先由(20)扣除工具偏置得到腕心，再由(21)计算前三个关节角；随后用(22)求腕部相对姿态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，由(23)及零位偏置得到后三个关节角。保留与上一时刻最接近的可行解，作为六轴关节指令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w:t>
      </w:r>
    </w:p>
    <w:bookmarkEnd w:id="2"/>
    <w:bookmarkEnd w:id="11"/>
    <w:bookmarkEnd w:id="14"/>
    <w:p w14:paraId="7A120001">
      <w:pPr>
        <w:pStyle w:val="2"/>
        <w:numPr>
          <w:ilvl w:val="0"/>
          <w:numId w:val="0"/>
        </w:numPr>
        <w:snapToGrid w:val="0"/>
      </w:pPr>
      <w:r>
        <w:rPr>
          <w:rFonts w:ascii="Times New Roman" w:hAnsi="Times New Roman" w:eastAsia="宋体"/>
          <w:sz w:val="20"/>
          <w:szCs w:val="20"/>
        </w:rPr>
        <w:t xml:space="preserve">II. 实验与结果（Experiments and Results）</w:t>
      </w:r>
    </w:p>
    <w:p w14:paraId="7A120002">
      <w:pPr>
        <w:pStyle w:val="7"/>
        <w:numPr>
          <w:ilvl w:val="0"/>
          <w:numId w:val="0"/>
        </w:numPr>
        <w:snapToGrid w:val="0"/>
        <w:rPr>
          <w:sz w:val="20"/>
        </w:rPr>
      </w:pPr>
      <w:r>
        <w:rPr>
          <w:rFonts w:ascii="Times New Roman" w:hAnsi="Times New Roman" w:eastAsia="宋体"/>
          <w:sz w:val="20"/>
          <w:szCs w:val="20"/>
        </w:rPr>
        <w:t xml:space="preserve">本节汇总机械几何模型的计算与工作空间采样结果 [1]，分别讨论底盘轮心、机械臂夹爪中心及遥操作控制器动平台中心的位置覆盖范围。以下数值用于说明结构参数与运动学映射之间的关系，属于几何分析结果；尚未据此评价实机跟踪误差、带载能力或动态性能。</w:t>
      </w:r>
    </w:p>
    <w:p w14:paraId="7A120003">
      <w:pPr>
        <w:pStyle w:val="3"/>
        <w:numPr>
          <w:ilvl w:val="1"/>
          <w:numId w:val="0"/>
        </w:numPr>
        <w:snapToGrid w:val="0"/>
      </w:pPr>
      <w:r>
        <w:rPr>
          <w:rFonts w:ascii="Times New Roman" w:hAnsi="Times New Roman" w:eastAsia="宋体"/>
          <w:sz w:val="20"/>
          <w:szCs w:val="20"/>
        </w:rPr>
        <w:t xml:space="preserve">A. 底盘轮心工作空间</w:t>
      </w:r>
    </w:p>
    <w:p w14:paraId="7A120004">
      <w:pPr>
        <w:pStyle w:val="7"/>
        <w:numPr>
          <w:ilvl w:val="0"/>
          <w:numId w:val="0"/>
        </w:numPr>
        <w:snapToGrid w:val="0"/>
        <w:rPr>
          <w:sz w:val="20"/>
        </w:rPr>
      </w:pPr>
      <w:r>
        <w:rPr>
          <w:rFonts w:ascii="Times New Roman" w:hAnsi="Times New Roman" w:eastAsia="宋体"/>
          <w:sz w:val="20"/>
          <w:szCs w:val="20"/>
        </w:rPr>
        <w:t xml:space="preserve">采用 TABLE I 中大腿和小腿的关节中心距 170 mm 和 220 mm，前后髋关节中心距为 360 mm。对选定构型进行几何计算，轮心至髋部的距离为 132.52–300.48 mm。进一步考虑横梁、轮胎及辅助连杆等实体之间的干涉，得到 Fig. 11 所示的前后轮心投影区域。该图以同侧前髋中心为绘图原点，横轴沿机身向后，纵轴向上；因此横轴与机体系的前向轴方向相反。</w:t>
      </w:r>
    </w:p>
    <w:p w14:paraId="7A120005">
      <w:pPr>
        <w:pStyle w:val="7"/>
        <w:numPr>
          <w:ilvl w:val="0"/>
          <w:numId w:val="0"/>
        </w:numPr>
        <w:snapToGrid w:val="0"/>
        <w:rPr>
          <w:sz w:val="20"/>
        </w:rPr>
      </w:pPr>
      <w:r>
        <w:rPr>
          <w:rFonts w:ascii="Times New Roman" w:hAnsi="Times New Roman" w:eastAsia="宋体"/>
          <w:sz w:val="20"/>
          <w:szCs w:val="20"/>
        </w:rPr>
        <w:t xml:space="preserve">采样结果中，前轮心相对髋部的竖直位置为 −300.48 至 166.46 mm，后轮心为 −300.48 至 −17.50 mm。两区域分别允许另一条腿采取避让姿态，因此不能将区域内任意两个位置直接组合为同时可达的前后轮目标。该结果为支撑高度与轮心前后位置的选择提供几何参考，具体组合仍需通过整机运动规划确定。</w:t>
      </w:r>
    </w:p>
    <w:p w14:paraId="7A120006">
      <w:pPr>
        <w:keepNext/>
        <w:keepLines/>
        <w:numPr>
          <w:ilvl w:val="0"/>
          <w:numId w:val="0"/>
        </w:numPr>
        <w:snapToGrid w:val="0"/>
        <w:spacing w:before="60" w:after="60" w:line="240" w:lineRule="auto"/>
        <w:ind w:left="0" w:right="0" w:firstLine="0"/>
        <w:jc w:val="center"/>
      </w:pPr>
      <w:r>
        <w:drawing>
          <wp:inline distT="0" distB="0" distL="0" distR="0">
            <wp:extent cx="3060000" cy="1752529"/>
            <wp:effectExtent l="0" t="0" r="0" b="0"/>
            <wp:docPr id="35" name="Fig. 11"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 11"/>
                    <pic:cNvPicPr>
                      <a:picLocks noChangeAspect="1"/>
                    </pic:cNvPicPr>
                  </pic:nvPicPr>
                  <pic:blipFill>
                    <a:blip r:embed="rId19"/>
                    <a:stretch>
                      <a:fillRect/>
                    </a:stretch>
                  </pic:blipFill>
                  <pic:spPr>
                    <a:xfrm>
                      <a:off x="0" y="0"/>
                      <a:ext cx="3060000" cy="1752529"/>
                    </a:xfrm>
                    <a:prstGeom prst="rect">
                      <a:avLst/>
                    </a:prstGeom>
                  </pic:spPr>
                </pic:pic>
              </a:graphicData>
            </a:graphic>
          </wp:inline>
        </w:drawing>
      </w:r>
    </w:p>
    <w:p w14:paraId="7A120007">
      <w:pPr>
        <w:pStyle w:val="18"/>
        <w:numPr>
          <w:ilvl w:val="0"/>
          <w:numId w:val="0"/>
        </w:numPr>
        <w:snapToGrid w:val="0"/>
      </w:pPr>
      <w:r>
        <w:rPr>
          <w:rFonts w:ascii="Times New Roman" w:hAnsi="Times New Roman" w:eastAsia="宋体"/>
          <w:sz w:val="18"/>
          <w:szCs w:val="18"/>
        </w:rPr>
        <w:t xml:space="preserve">Fig. 11. 前后腿轮心的二维工作空间示意。蓝色与橙色分别表示前轮和后轮的位置覆盖区域；绘图原点位于前髋中心，横轴向后、纵轴向上。</w:t>
      </w:r>
    </w:p>
    <w:p w14:paraId="7A120008">
      <w:pPr>
        <w:pStyle w:val="3"/>
        <w:numPr>
          <w:ilvl w:val="1"/>
          <w:numId w:val="0"/>
        </w:numPr>
        <w:snapToGrid w:val="0"/>
      </w:pPr>
      <w:r>
        <w:rPr>
          <w:rFonts w:ascii="Times New Roman" w:hAnsi="Times New Roman" w:eastAsia="宋体"/>
          <w:sz w:val="20"/>
          <w:szCs w:val="20"/>
        </w:rPr>
        <w:t xml:space="preserve">B. 机械臂夹爪中心工作空间</w:t>
      </w:r>
    </w:p>
    <w:p w14:paraId="7A120009">
      <w:pPr>
        <w:pStyle w:val="7"/>
        <w:numPr>
          <w:ilvl w:val="0"/>
          <w:numId w:val="0"/>
        </w:numPr>
        <w:snapToGrid w:val="0"/>
        <w:rPr>
          <w:sz w:val="20"/>
        </w:rPr>
      </w:pPr>
      <w:r>
        <w:rPr>
          <w:rFonts w:ascii="Times New Roman" w:hAnsi="Times New Roman" w:eastAsia="宋体"/>
          <w:sz w:val="20"/>
          <w:szCs w:val="20"/>
        </w:rPr>
        <w:t xml:space="preserve">机械臂位置覆盖分析采用机械结构模型中的关节中心距与工具尺寸。其中，第二至第三关节的中心距为 360 mm，第三关节至腕心的轴向距离为 382 mm，腕心至夹爪中心的工具轴向距离为 184.1 mm。以第一关节底部中心为位置参考原点、竖直方向为高度方向，对机构构型进行几何采样，并将夹爪中心位置绘制为三维点云及径向–高度投影，如 Fig. 12 所示。</w:t>
      </w:r>
    </w:p>
    <w:p w14:paraId="7A120010">
      <w:pPr>
        <w:pStyle w:val="7"/>
        <w:numPr>
          <w:ilvl w:val="0"/>
          <w:numId w:val="0"/>
        </w:numPr>
        <w:snapToGrid w:val="0"/>
        <w:rPr>
          <w:sz w:val="20"/>
        </w:rPr>
      </w:pPr>
      <w:r>
        <w:rPr>
          <w:rFonts w:ascii="Times New Roman" w:hAnsi="Times New Roman" w:eastAsia="宋体"/>
          <w:sz w:val="20"/>
          <w:szCs w:val="20"/>
        </w:rPr>
        <w:t xml:space="preserve">夹爪中心的采样最大径向距离为 820.66 mm，竖直位置为 −237.44 至 683.52 mm。该结果未计入机械臂与机身等实体之间的碰撞，也仅描述位置覆盖，不能据此认定每个位置均可实现任意末端姿态。底盘升降会改变机械臂基座在惯性系中的位置；主从映射仍需结合当前基座位姿与目标姿态求取相应关节角。</w:t>
      </w:r>
    </w:p>
    <w:p w14:paraId="7A120011">
      <w:pPr>
        <w:keepNext/>
        <w:keepLines/>
        <w:numPr>
          <w:ilvl w:val="0"/>
          <w:numId w:val="0"/>
        </w:numPr>
        <w:snapToGrid w:val="0"/>
        <w:spacing w:before="60" w:after="60" w:line="240" w:lineRule="auto"/>
        <w:ind w:left="0" w:right="0" w:firstLine="0"/>
        <w:jc w:val="center"/>
      </w:pPr>
      <w:r>
        <w:drawing>
          <wp:inline distT="0" distB="0" distL="0" distR="0">
            <wp:extent cx="2880000" cy="4325872"/>
            <wp:effectExtent l="0" t="0" r="0" b="0"/>
            <wp:docPr id="36" name="Fig. 12"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 12"/>
                    <pic:cNvPicPr>
                      <a:picLocks noChangeAspect="1"/>
                    </pic:cNvPicPr>
                  </pic:nvPicPr>
                  <pic:blipFill>
                    <a:blip r:embed="rId20"/>
                    <a:srcRect l="33333" t="0" r="33333" b="3200"/>
                    <a:stretch>
                      <a:fillRect/>
                    </a:stretch>
                  </pic:blipFill>
                  <pic:spPr>
                    <a:xfrm>
                      <a:off x="0" y="0"/>
                      <a:ext cx="2880000" cy="4325872"/>
                    </a:xfrm>
                    <a:prstGeom prst="rect">
                      <a:avLst/>
                    </a:prstGeom>
                  </pic:spPr>
                </pic:pic>
              </a:graphicData>
            </a:graphic>
          </wp:inline>
        </w:drawing>
      </w:r>
    </w:p>
    <w:p w14:paraId="7A120012">
      <w:pPr>
        <w:pStyle w:val="18"/>
        <w:numPr>
          <w:ilvl w:val="0"/>
          <w:numId w:val="0"/>
        </w:numPr>
        <w:snapToGrid w:val="0"/>
      </w:pPr>
      <w:r>
        <w:rPr>
          <w:rFonts w:ascii="Times New Roman" w:hAnsi="Times New Roman" w:eastAsia="宋体"/>
          <w:sz w:val="18"/>
          <w:szCs w:val="18"/>
        </w:rPr>
        <w:t xml:space="preserve">Fig. 12. 夹爪中心的位置工作空间。上图为三维采样点云，下图为径向–高度投影；高度以前述第一关节底部中心为零点。</w:t>
      </w:r>
    </w:p>
    <w:p w14:paraId="7A120013">
      <w:pPr>
        <w:pStyle w:val="3"/>
        <w:numPr>
          <w:ilvl w:val="1"/>
          <w:numId w:val="0"/>
        </w:numPr>
        <w:snapToGrid w:val="0"/>
      </w:pPr>
      <w:r>
        <w:rPr>
          <w:rFonts w:ascii="Times New Roman" w:hAnsi="Times New Roman" w:eastAsia="宋体"/>
          <w:sz w:val="20"/>
          <w:szCs w:val="20"/>
        </w:rPr>
        <w:t xml:space="preserve">C. 遥操作控制器平移工作空间</w:t>
      </w:r>
    </w:p>
    <w:p w14:paraId="7A120014">
      <w:pPr>
        <w:pStyle w:val="7"/>
        <w:numPr>
          <w:ilvl w:val="0"/>
          <w:numId w:val="0"/>
        </w:numPr>
        <w:snapToGrid w:val="0"/>
        <w:rPr>
          <w:sz w:val="20"/>
        </w:rPr>
      </w:pPr>
      <w:r>
        <w:rPr>
          <w:rFonts w:ascii="Times New Roman" w:hAnsi="Times New Roman" w:eastAsia="宋体"/>
          <w:sz w:val="20"/>
          <w:szCs w:val="20"/>
        </w:rPr>
        <w:t xml:space="preserve">采用 TABLE II 的 Delta 机构几何参数，分析动平台中心位于工作侧时的几何可达位置，并将结果统一表达于本文定义的右手坐标系 {D}。Fig. 13 给出三维工作空间示意；分析仅考虑支链几何关系，未计入构件之间的实体碰撞。</w:t>
      </w:r>
    </w:p>
    <w:p w14:paraId="7A120015">
      <w:pPr>
        <w:pStyle w:val="7"/>
        <w:numPr>
          <w:ilvl w:val="0"/>
          <w:numId w:val="0"/>
        </w:numPr>
        <w:snapToGrid w:val="0"/>
        <w:rPr>
          <w:sz w:val="20"/>
        </w:rPr>
      </w:pPr>
      <w:r>
        <w:rPr>
          <w:rFonts w:ascii="Times New Roman" w:hAnsi="Times New Roman" w:eastAsia="宋体"/>
          <w:sz w:val="20"/>
          <w:szCs w:val="20"/>
        </w:rPr>
        <w:t xml:space="preserve">沿 </w:t>
      </w:r>
      <m:oMath>
        <m:sSub>
          <m:e>
            <m:r>
              <m:rPr>
                <m:sty m:val="i"/>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 xml:space="preserve">、</w:t>
      </w:r>
      <m:oMath>
        <m:sSub>
          <m:e>
            <m:r>
              <m:rPr>
                <m:sty m:val="i"/>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20"/>
          <w:szCs w:val="20"/>
        </w:rPr>
        <w:t xml:space="preserve"> 和 </w:t>
      </w:r>
      <m:oMath>
        <m:sSub>
          <m:e>
            <m:r>
              <m:rPr>
                <m:sty m:val="i"/>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20"/>
          <w:szCs w:val="20"/>
        </w:rPr>
        <w:t xml:space="preserve"> 的外包络坐标范围依次为 −348.80 至 0.00 mm、−200.00 至 200.00 mm 和 −230.94 至 230.94 mm，对应尺寸为 348.80 × 400.00 × 461.88 mm。中心轴 </w:t>
      </w:r>
      <m:oMath>
        <m:sSub>
          <m:e>
            <m:r>
              <m:rPr>
                <m:sty m:val="i"/>
              </m:rPr>
              <w:rPr>
                <w:rFonts w:ascii="Cambria Math" w:hAnsi="Cambria Math"/>
                <w:sz w:val="20"/>
              </w:rPr>
              <m:t>y</m:t>
            </m:r>
          </m:e>
          <m:sub>
            <m:r>
              <m:rPr>
                <m:sty m:val="p"/>
              </m:rPr>
              <w:rPr>
                <w:rFonts w:ascii="Cambria Math" w:hAnsi="Cambria Math"/>
                <w:sz w:val="20"/>
              </w:rPr>
              <m:t>D</m:t>
            </m:r>
          </m:sub>
        </m:sSub>
        <m:r>
          <m:rPr>
            <m:sty m:val="p"/>
          </m:rPr>
          <w:rPr>
            <w:rFonts w:ascii="Cambria Math" w:hAnsi="Cambria Math"/>
            <w:sz w:val="20"/>
          </w:rPr>
          <m:t>=</m:t>
        </m:r>
        <m:sSub>
          <m:e>
            <m:r>
              <m:rPr>
                <m:sty m:val="i"/>
              </m:rPr>
              <w:rPr>
                <w:rFonts w:ascii="Cambria Math" w:hAnsi="Cambria Math"/>
                <w:sz w:val="20"/>
              </w:rPr>
              <m:t>z</m:t>
            </m:r>
          </m:e>
          <m:sub>
            <m:r>
              <m:rPr>
                <m:sty m:val="p"/>
              </m:rPr>
              <w:rPr>
                <w:rFonts w:ascii="Cambria Math" w:hAnsi="Cambria Math"/>
                <w:sz w:val="20"/>
              </w:rPr>
              <m:t>D</m:t>
            </m:r>
          </m:sub>
        </m:sSub>
        <m:r>
          <m:rPr>
            <m:sty m:val="p"/>
          </m:rPr>
          <w:rPr>
            <w:rFonts w:ascii="Cambria Math" w:hAnsi="Cambria Math"/>
            <w:sz w:val="20"/>
          </w:rPr>
          <m:t>=0</m:t>
        </m:r>
      </m:oMath>
      <w:r>
        <w:rPr>
          <w:rFonts w:ascii="Times New Roman" w:hAnsi="Times New Roman" w:eastAsia="宋体"/>
          <w:sz w:val="20"/>
          <w:szCs w:val="20"/>
        </w:rPr>
        <w:t xml:space="preserve"> 上，</w:t>
      </w:r>
      <m:oMath>
        <m:sSub>
          <m:e>
            <m:r>
              <m:rPr>
                <m:sty m:val="i"/>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 xml:space="preserve"> 的可达区间为 −348.80 至 −89.21 mm。外包络给出各方向的坐标跨度，其内部长方体并非全部可达；静平台附近还存在由支链几何关系形成的不可达区域。</w:t>
      </w:r>
    </w:p>
    <w:p w14:paraId="7A120016">
      <w:pPr>
        <w:pStyle w:val="7"/>
        <w:numPr>
          <w:ilvl w:val="0"/>
          <w:numId w:val="0"/>
        </w:numPr>
        <w:snapToGrid w:val="0"/>
        <w:rPr>
          <w:sz w:val="20"/>
        </w:rPr>
      </w:pPr>
      <w:r>
        <w:rPr>
          <w:rFonts w:ascii="Times New Roman" w:hAnsi="Times New Roman" w:eastAsia="宋体"/>
          <w:sz w:val="20"/>
          <w:szCs w:val="20"/>
        </w:rPr>
        <w:t xml:space="preserve">上述结果描述主手的平移输入空间，可作为位置映射比例与操作参考点选择的依据。配合手柄上的参考点重置按钮，可在保持从端目标连续的同时分段调整主手参考位置；三轴手柄的姿态输入则继续按前述动轴 RPY 顺序独立计算。</w:t>
      </w:r>
    </w:p>
    <w:p w14:paraId="7A120017">
      <w:pPr>
        <w:keepNext/>
        <w:keepLines/>
        <w:numPr>
          <w:ilvl w:val="0"/>
          <w:numId w:val="0"/>
        </w:numPr>
        <w:snapToGrid w:val="0"/>
        <w:spacing w:before="60" w:after="60" w:line="240" w:lineRule="auto"/>
        <w:ind w:left="0" w:right="0" w:firstLine="0"/>
        <w:jc w:val="center"/>
      </w:pPr>
      <w:r>
        <w:drawing>
          <wp:inline distT="0" distB="0" distL="0" distR="0">
            <wp:extent cx="3060000" cy="2712550"/>
            <wp:effectExtent l="0" t="0" r="0" b="0"/>
            <wp:docPr id="37" name="Fig. 13"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13"/>
                    <pic:cNvPicPr>
                      <a:picLocks noChangeAspect="1"/>
                    </pic:cNvPicPr>
                  </pic:nvPicPr>
                  <pic:blipFill>
                    <a:blip r:embed="rId21"/>
                    <a:srcRect l="0" t="0" r="34000" b="6000"/>
                    <a:stretch>
                      <a:fillRect/>
                    </a:stretch>
                  </pic:blipFill>
                  <pic:spPr>
                    <a:xfrm>
                      <a:off x="0" y="0"/>
                      <a:ext cx="3060000" cy="2712550"/>
                    </a:xfrm>
                    <a:prstGeom prst="rect">
                      <a:avLst/>
                    </a:prstGeom>
                  </pic:spPr>
                </pic:pic>
              </a:graphicData>
            </a:graphic>
          </wp:inline>
        </w:drawing>
      </w:r>
    </w:p>
    <w:p w14:paraId="7A120018">
      <w:pPr>
        <w:pStyle w:val="18"/>
        <w:numPr>
          <w:ilvl w:val="0"/>
          <w:numId w:val="0"/>
        </w:numPr>
        <w:snapToGrid w:val="0"/>
      </w:pPr>
      <w:r>
        <w:rPr>
          <w:rFonts w:ascii="Times New Roman" w:hAnsi="Times New Roman" w:eastAsia="宋体"/>
          <w:sz w:val="18"/>
          <w:szCs w:val="18"/>
        </w:rPr>
        <w:t xml:space="preserve">Fig. 13. Delta 动平台中心的三维工作空间示意，工作侧为 </w:t>
      </w:r>
      <m:oMath>
        <m:sSub>
          <m:e>
            <m:r>
              <m:rPr>
                <m:sty m:val="i"/>
              </m:rPr>
              <w:rPr>
                <w:rFonts w:ascii="Cambria Math" w:hAnsi="Cambria Math"/>
                <w:sz w:val="20"/>
              </w:rPr>
              <m:t>x</m:t>
            </m:r>
          </m:e>
          <m:sub>
            <m:r>
              <m:rPr>
                <m:sty m:val="p"/>
              </m:rPr>
              <w:rPr>
                <w:rFonts w:ascii="Cambria Math" w:hAnsi="Cambria Math"/>
                <w:sz w:val="20"/>
              </w:rPr>
              <m:t>D</m:t>
            </m:r>
          </m:sub>
        </m:sSub>
        <m:r>
          <m:rPr>
            <m:sty m:val="p"/>
          </m:rPr>
          <w:rPr>
            <w:rFonts w:ascii="Cambria Math" w:hAnsi="Cambria Math"/>
            <w:sz w:val="20"/>
          </w:rPr>
          <m:t>&lt;0</m:t>
        </m:r>
      </m:oMath>
      <w:r>
        <w:rPr>
          <w:rFonts w:ascii="Times New Roman" w:hAnsi="Times New Roman" w:eastAsia="宋体"/>
          <w:sz w:val="18"/>
          <w:szCs w:val="18"/>
        </w:rPr>
        <w:t xml:space="preserve">。图中沿 </w:t>
      </w:r>
      <m:oMath>
        <m:sSub>
          <m:e>
            <m:r>
              <m:rPr>
                <m:sty m:val="i"/>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18"/>
          <w:szCs w:val="18"/>
        </w:rPr>
        <w:t xml:space="preserve">、</w:t>
      </w:r>
      <m:oMath>
        <m:r>
          <m:rPr>
            <m:sty m:val="p"/>
          </m:rPr>
          <w:rPr>
            <w:rFonts w:ascii="Cambria Math" w:hAnsi="Cambria Math"/>
            <w:sz w:val="20"/>
          </w:rPr>
          <m:t>−</m:t>
        </m:r>
        <m:sSub>
          <m:e>
            <m:r>
              <m:rPr>
                <m:sty m:val="i"/>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18"/>
          <w:szCs w:val="18"/>
        </w:rPr>
        <w:t xml:space="preserve"> 和 </w:t>
      </w:r>
      <m:oMath>
        <m:sSub>
          <m:e>
            <m:r>
              <m:rPr>
                <m:sty m:val="i"/>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18"/>
          <w:szCs w:val="18"/>
        </w:rPr>
        <w:t xml:space="preserve"> 显示位置，虚线圆表示静平台连接点分布圆。</w:t>
      </w:r>
    </w:p>
    <w:p w14:paraId="3A278C2B">
      <w:pPr>
        <w:pStyle w:val="2"/>
        <w:numPr>
          <w:ilvl w:val="0"/>
          <w:numId w:val="0"/>
        </w:numPr>
        <w:snapToGrid w:val="0"/>
      </w:pPr>
      <w:bookmarkStart w:id="15" w:name="v.-结论conclusion"/>
      <w:r>
        <w:t>III.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本文形成了底盘移动与姿态控制、机械臂逆运动学及主从位姿映射相结合的控制流程。几何工作空间分析进一步给出了轮心、夹爪中心与主手动平台的位置覆盖范围，为结构参数选取及位姿映射提供了依据。整机能耗、末端定位精度及重复任务成功率仍需定量评估。后续将完善带物理约束的接触力分配与主从标定，统一仿真和实机测试条件，并通过重复任务试验评价该方案的效率、精度和适用范围。</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r>
        <w:rPr>
          <w:rFonts w:hint="eastAsia"/>
          <w:sz w:val="20"/>
          <w:szCs w:val="20"/>
        </w:rPr>
        <w:t/>
      </w:r>
    </w:p>
    <w:bookmarkEnd w:id="16"/>
    <w:p w14:paraId="07FDE488">
      <w:pPr>
        <w:pStyle w:val="6"/>
        <w:keepNext/>
        <w:numPr>
          <w:ilvl w:val="0"/>
          <w:numId w:val="0"/>
        </w:numPr>
        <w:snapToGrid w:val="0"/>
      </w:pPr>
      <w:bookmarkStart w:id="17" w:name="参考文献references"/>
      <w:r>
        <w:rPr>
          <w:rFonts w:hint="eastAsia"/>
        </w:rPr>
        <w:t>参考文献（References）</w:t>
      </w:r>
    </w:p>
    <w:p w14:paraId="4260D61B">
      <w:pPr>
        <w:pStyle w:val="22"/>
        <w:numPr>
          <w:ilvl w:val="0"/>
          <w:numId w:val="0"/>
        </w:numPr>
        <w:snapToGrid w:val="0"/>
      </w:pPr>
      <w:r>
        <w:t xml:space="preserve">[1] </w:t>
      </w:r>
      <w:r>
        <w:rPr>
          <w:rFonts w:hint="eastAsia"/>
        </w:rPr>
        <w:t>“机械部分，”项目机械设计资料，未出版。</w:t>
      </w:r>
    </w:p>
    <w:bookmarkEnd w:id="0"/>
    <w:bookmarkEnd w:id="17"/>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15B381E1"/>
    <w:rsid w:val="47FBC7DB"/>
    <w:rsid w:val="677EF307"/>
    <w:rsid w:val="6EFF9550"/>
    <w:rsid w:val="7CFFB4DD"/>
    <w:rsid w:val="7D7BC468"/>
    <w:rsid w:val="7DB3EA36"/>
    <w:rsid w:val="7DB9D918"/>
    <w:rsid w:val="7DDBEB2D"/>
    <w:rsid w:val="7F7C0272"/>
    <w:rsid w:val="7FFB82DC"/>
    <w:rsid w:val="7FFD2014"/>
    <w:rsid w:val="7FFE82C9"/>
    <w:rsid w:val="B31DD456"/>
    <w:rsid w:val="BBFFEEA7"/>
    <w:rsid w:val="C7EFD916"/>
    <w:rsid w:val="D1E9525F"/>
    <w:rsid w:val="DE3FEC34"/>
    <w:rsid w:val="F7FB23B8"/>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8" Type="http://schemas.openxmlformats.org/officeDocument/2006/relationships/image" Target="media/arm_joint_frames_corrected.png"/><Relationship Id="rId19" Type="http://schemas.openxmlformats.org/officeDocument/2006/relationships/image" Target="media/chassis_workspace_article.png"/><Relationship Id="rId20" Type="http://schemas.openxmlformats.org/officeDocument/2006/relationships/image" Target="media/arm_workspace_source.png"/><Relationship Id="rId21" Type="http://schemas.openxmlformats.org/officeDocument/2006/relationships/image" Target="media/delta_workspace_articl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133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2026-10-08T18:20:00Z</dcterms:created>
  <dc:creator>赵苏亚</dc:creator>
  <cp:lastModifiedBy>赵苏亚</cp:lastModifiedBy>
  <dcterms:modified xsi:type="dcterms:W3CDTF">2026-10-07T19:03:22Z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