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三平移机构和三转动编码器手柄构成异构主端，结合解析逆解及底盘平移补偿完成末端位姿输入。本文对已有记录进行整理和分析，不将尚未完成的约束优化或未测量的性能指标作为实验结果。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4"/>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5"/>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6"/>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7"/>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5" descr="基于底盘立体构型的整机质心与四轮接触力示意图"/>
                    <pic:cNvPicPr>
                      <a:picLocks noChangeAspect="1"/>
                    </pic:cNvPicPr>
                  </pic:nvPicPr>
                  <pic:blipFill>
                    <a:blip r:embed="rId8"/>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5.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13"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w:t>
      </w:r>
      <w:r>
        <w:rPr>
          <w:sz w:val="20"/>
          <w:szCs w:val="20"/>
        </w:rPr>
        <w:t xml:space="preserve"> </w:t>
      </w:r>
      <w:r>
        <w:rPr>
          <w:rFonts w:hint="eastAsia"/>
          <w:sz w:val="20"/>
          <w:szCs w:val="20"/>
        </w:rPr>
        <w:t>[4]。闭环控制结构如 Fig. 6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sz w:val="20"/>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，再由单腿逆解得到关节目标。实际坐标安装方向应据此标定；高度、关节角及输出增量均需限幅，饱和时停止向不可达方向累加。</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6"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6" descr="底盘姿态控制器闭环方框图"/>
                    <pic:cNvPicPr>
                      <a:picLocks noChangeAspect="1"/>
                    </pic:cNvPicPr>
                  </pic:nvPicPr>
                  <pic:blipFill>
                    <a:blip r:embed="rId9"/>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6. 底盘姿态控制器闭环方框图。滚转与俯仰分别采用式（18）的双环 P 控制及高度增量累加，两轴修正量经式（19）共同分配至四腿；关节伺服内环合并表示。</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7"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7" descr="机械臂侧视图上的关节坐标系定义"/>
                    <pic:cNvPicPr>
                      <a:picLocks noChangeAspect="1"/>
                    </pic:cNvPicPr>
                  </pic:nvPicPr>
                  <pic:blipFill>
                    <a:blip r:embed="rId10"/>
                    <a:stretch>
                      <a:fillRect/>
                    </a:stretch>
                  </pic:blipFill>
                  <pic:spPr>
                    <a:xfrm>
                      <a:off x="0" y="0"/>
                      <a:ext cx="3060000" cy="1020000"/>
                    </a:xfrm>
                    <a:prstGeom prst="rect">
                      <a:avLst/>
                    </a:prstGeom>
                  </pic:spPr>
                </pic:pic>
              </a:graphicData>
            </a:graphic>
          </wp:inline>
        </w:drawing>
      </w:r>
    </w:p>
    <w:p w14:paraId="1428A8F6">
      <w:pPr>
        <w:pStyle w:val="18"/>
        <w:numPr>
          <w:ilvl w:val="0"/>
          <w:numId w:val="0"/>
        </w:numPr>
        <w:snapToGrid w:val="0"/>
      </w:pPr>
      <w:r>
        <w:rPr>
          <w:iCs/>
        </w:rPr>
        <w:t xml:space="preserve">Fig. 7. </w:t>
      </w:r>
      <w:r>
        <w:rPr>
          <w:rFonts w:hint="eastAsia"/>
          <w:iCs/>
        </w:rPr>
        <w:t xml:space="preserve">六轴机械臂关节坐标系在侧视图上的对应位置。坐标系 2、3 的原点重合，坐标系 4、5 </w:t>
      </w:r>
      <w:r>
        <w:rPr>
          <w:rFonts w:hint="eastAsia"/>
          <w:iCs/>
          <w:lang w:eastAsia="zh-CN"/>
        </w:rPr>
        <w:t>的</w:t>
      </w:r>
      <w:r>
        <w:rPr>
          <w:rFonts w:hint="eastAsia"/>
          <w:iCs/>
        </w:rPr>
        <w:t>原点重合；</w:t>
      </w:r>
    </w:p>
    <w:p w14:paraId="2743674C">
      <w:pPr>
        <w:pStyle w:val="7"/>
        <w:numPr>
          <w:ilvl w:val="0"/>
          <w:numId w:val="0"/>
        </w:numPr>
        <w:snapToGrid w:val="0"/>
        <w:rPr>
          <w:sz w:val="20"/>
        </w:rPr>
      </w:pPr>
      <w:r>
        <w:rPr>
          <w:rFonts w:hint="eastAsia"/>
          <w:sz w:val="20"/>
          <w:szCs w:val="20"/>
          <w:lang w:eastAsia="zh-CN"/>
        </w:rPr>
        <w:t>称坐标系</w:t>
      </w:r>
      <w:r>
        <w:rPr>
          <w:rFonts w:hint="eastAsia"/>
          <w:sz w:val="20"/>
          <w:szCs w:val="20"/>
          <w:lang w:val="en-US" w:eastAsia="zh-CN"/>
        </w:rPr>
        <w:t>4、5的原点为腕心，</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w:t>
      </w:r>
      <w:r>
        <w:rPr>
          <w:sz w:val="20"/>
          <w:szCs w:val="20"/>
        </w:rPr>
        <w:t xml:space="preserve">。Fig. 8 </w:t>
      </w:r>
      <w:r>
        <w:rPr>
          <w:rFonts w:hint="eastAsia"/>
          <w:sz w:val="20"/>
          <w:szCs w:val="20"/>
        </w:rPr>
        <w:t>给出 Delta 机构、三轴手柄及转轴标注，几何参数列于</w:t>
      </w:r>
      <w:r>
        <w:rPr>
          <w:sz w:val="20"/>
          <w:szCs w:val="20"/>
        </w:rPr>
        <w:t xml:space="preserve"> TABLE II。</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8"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8" descr="Delta 平移机构与三轴姿态手柄的机构、转轴和平行约束示意"/>
                    <pic:cNvPicPr>
                      <a:picLocks noChangeAspect="1"/>
                    </pic:cNvPicPr>
                  </pic:nvPicPr>
                  <pic:blipFill>
                    <a:blip r:embed="rId11"/>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8.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e>
            <m:r>
              <m:rPr>
                <m:sty m:val="i"/>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e>
            <m:r>
              <m:rPr>
                <m:sty m:val="i"/>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 </w:t>
      </w:r>
      <m:oMath>
        <m:sSub>
          <m:e>
            <m:r>
              <m:rPr>
                <m:sty m:val="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 xml:space="preserve">；</w:t>
      </w:r>
      <m:oMath>
        <m:sSub>
          <m:e>
            <m:r>
              <m:rPr>
                <m:sty m:val="i"/>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轴按右手系确定，三轴单位矢量满足 </w:t>
      </w:r>
      <m:oMath>
        <m:sSub>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hint="eastAsia"/>
          <w:sz w:val="20"/>
          <w:szCs w:val="20"/>
        </w:rPr>
        <w:t xml:space="preserve">，工作侧为 </w:t>
      </w:r>
      <m:oMath>
        <m:sSub>
          <m:e>
            <m:r>
              <m:rPr>
                <m:sty m:val="i"/>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e>
            <m:r>
              <m:rPr>
                <m:sty m:val="i"/>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e>
            <m:r>
              <m:rPr>
                <m:sty m:val="i"/>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e>
            <m:r>
              <m:rPr>
                <m:sty m:val="bi"/>
              </m:rPr>
              <w:rPr>
                <w:rFonts w:ascii="Cambria Math" w:hAnsi="Cambria Math" w:eastAsia="Cambria Math" w:cs="Cambria Math"/>
                <w:sz w:val="20"/>
                <w:szCs w:val="20"/>
              </w:rPr>
              <m:t>e</m:t>
            </m:r>
          </m:e>
          <m:sub>
            <m:r>
              <m:rPr>
                <m:sty m:val="i"/>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e>
            <m:r>
              <m:rPr>
                <m:sty m:val="i"/>
              </m:rPr>
              <w:rPr>
                <w:rFonts w:ascii="Cambria Math" w:hAnsi="Cambria Math" w:eastAsia="Cambria Math" w:cs="Cambria Math"/>
                <w:sz w:val="20"/>
                <w:szCs w:val="20"/>
              </w:rPr>
              <m:t>ψ</m:t>
            </m:r>
          </m:e>
          <m:sub>
            <m:r>
              <m:rPr>
                <m:sty m:val="i"/>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e>
            <m:r>
              <m:rPr>
                <m:sty m:val="i"/>
              </m:rPr>
              <w:rPr>
                <w:rFonts w:ascii="Cambria Math" w:hAnsi="Cambria Math" w:eastAsia="Cambria Math" w:cs="Cambria Math"/>
                <w:sz w:val="20"/>
                <w:szCs w:val="20"/>
              </w:rPr>
              <m:t>ψ</m:t>
            </m:r>
          </m:e>
          <m:sub>
            <m:r>
              <m:rPr>
                <m:sty m:val="i"/>
              </m:rPr>
              <w:rPr>
                <w:rFonts w:ascii="Cambria Math" w:hAnsi="Cambria Math" w:eastAsia="Cambria Math" w:cs="Cambria Math"/>
                <w:sz w:val="20"/>
                <w:szCs w:val="20"/>
              </w:rPr>
              <m:t>i</m:t>
            </m:r>
          </m:sub>
        </m:sSub>
        <m:sSup>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e>
            <m:r>
              <m:rPr>
                <m:sty m:val="i"/>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9 所示；单支链图采用对称构型展示角度与长度定义，虚线段对应式（25）中的等效长度约束。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880000" cy="7405714"/>
            <wp:effectExtent l="0" t="0" r="7620" b="8255"/>
            <wp:docPr id="30" name="Fig. 9"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9" descr="Delta 三支链及单支链几何模型，基座原点位于静平台中心"/>
                    <pic:cNvPicPr>
                      <a:picLocks noChangeAspect="1"/>
                    </pic:cNvPicPr>
                  </pic:nvPicPr>
                  <pic:blipFill>
                    <a:blip r:embed="rId14"/>
                    <a:stretch>
                      <a:fillRect/>
                    </a:stretch>
                  </pic:blipFill>
                  <pic:spPr>
                    <a:xfrm>
                      <a:off x="0" y="0"/>
                      <a:ext cx="2880000" cy="7405714"/>
                    </a:xfrm>
                    <a:prstGeom prst="rect">
                      <a:avLst/>
                    </a:prstGeom>
                  </pic:spPr>
                </pic:pic>
              </a:graphicData>
            </a:graphic>
          </wp:inline>
        </w:drawing>
      </w:r>
    </w:p>
    <w:p w14:paraId="6F109002">
      <w:pPr>
        <w:pStyle w:val="18"/>
        <w:numPr>
          <w:numId w:val="0"/>
        </w:numPr>
        <w:snapToGrid w:val="0"/>
      </w:pPr>
      <w:r>
        <w:t>Fig. 9.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bookmarkStart w:id="27" w:name="_GoBack"/>
      <w:bookmarkEnd w:id="27"/>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s</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oMath>
      <w:r>
        <w:rPr>
          <w:rFonts w:hint="eastAsia"/>
          <w:sz w:val="20"/>
          <w:szCs w:val="20"/>
        </w:rPr>
        <w:t>。对支链约束求导，定义</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2</m:t>
                                  </m:r>
                                </m:sub>
                                <m:sup>
                                  <m:r>
                                    <m:rPr>
                                      <m:sty m:val="p"/>
                                    </m:rPr>
                                    <w:rPr>
                                      <w:rFonts w:ascii="Cambria Math" w:hAnsi="Cambria Math" w:eastAsia="Cambria Math" w:cs="Cambria Math"/>
                                      <w:sz w:val="18"/>
                                      <w:szCs w:val="18"/>
                                    </w:rPr>
                                    <m:t>T</m:t>
                                  </m:r>
                                </m:sup>
                              </m:sSubSup>
                            </m:e>
                          </m:mr>
                          <m:m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3</m:t>
                                  </m:r>
                                </m:sub>
                                <m:sup>
                                  <m:r>
                                    <m:rPr>
                                      <m:sty m:val="p"/>
                                    </m:rPr>
                                    <w:rPr>
                                      <w:rFonts w:ascii="Cambria Math" w:hAnsi="Cambria Math" w:eastAsia="Cambria Math" w:cs="Cambria Math"/>
                                      <w:sz w:val="18"/>
                                      <w:szCs w:val="18"/>
                                    </w:rPr>
                                    <m:t>T</m:t>
                                  </m:r>
                                </m:sup>
                              </m:sSubSup>
                            </m:e>
                          </m:mr>
                        </m:m>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=diag</m:t>
                    </m:r>
                    <m:r>
                      <m:rPr/>
                      <w:rPr>
                        <w:rFonts w:ascii="Cambria Math" w:hAnsi="Cambria Math" w:eastAsia="Cambria Math" w:cs="Cambria Math"/>
                        <w:sz w:val="18"/>
                        <w:szCs w:val="18"/>
                      </w:rPr>
                      <m:t>​</m:t>
                    </m:r>
                    <m:sSubSup>
                      <m:sSubSupPr/>
                      <m:e>
                        <m:d>
                          <m:dPr>
                            <m:sepChr m:val=""/>
                          </m:dPr>
                          <m:e>
                            <m:sSubSup>
                              <m:sSubSupPr/>
                              <m:e>
                                <m:r>
                                  <m:rPr>
                                    <m:sty m:val="bi"/>
                                  </m:rPr>
                                  <w:rPr>
                                    <w:rFonts w:ascii="Cambria Math" w:hAnsi="Cambria Math" w:eastAsia="Cambria Math" w:cs="Cambria Math"/>
                                    <w:sz w:val="18"/>
                                    <w:szCs w:val="18"/>
                                  </w:rPr>
                                  <m:t>s</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num>
                              <m:den>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den>
                            </m:f>
                          </m:e>
                        </m:d>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3</m:t>
                        </m:r>
                      </m:sup>
                    </m:sSubSup>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S</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bSup>
                    <m:sSub>
                      <m:sSubPr/>
                      <m:e>
                        <m:r>
                          <m:rPr>
                            <m:sty m:val="b"/>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e>
                </m:eqAr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此表达式要求</w:t>
      </w:r>
      <w:r>
        <w:rPr>
          <w:sz w:val="20"/>
          <w:szCs w:val="20"/>
        </w:rPr>
        <w:t xml:space="preserve"> </w:t>
      </w:r>
      <m:oMath>
        <m:sSub>
          <m:sSubPr/>
          <m:e>
            <m:r>
              <m:rPr>
                <m:sty m:val="b"/>
              </m:rPr>
              <w:rPr>
                <w:rFonts w:ascii="Cambria Math" w:hAnsi="Cambria Math" w:eastAsia="Cambria Math" w:cs="Cambria Math"/>
                <w:sz w:val="20"/>
                <w:szCs w:val="20"/>
              </w:rPr>
              <m:t>S</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可逆。静力学采用虚功原理：若机构对动平台提供的期望支撑力为</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，对应电机广义力矩为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sz w:val="20"/>
        </w:rPr>
      </w:pPr>
      <w:r>
        <w:rPr>
          <w:rFonts w:hint="eastAsia"/>
          <w:sz w:val="20"/>
          <w:szCs w:val="20"/>
        </w:rPr>
        <w:t>将动平台与手柄等效质量记为</w:t>
      </w:r>
      <w:r>
        <w:rPr>
          <w:sz w:val="20"/>
          <w:szCs w:val="20"/>
        </w:rPr>
        <w:t xml:space="preserve">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，重力补偿取</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，必要时另加各支链重力项。该方法用于降低手持机构的静态负担。摩擦、参数误差和机构奇异会影响补偿效果，近奇异区域应限制力矩和操作范围。报告提供了补偿效果演示，尚未提供残余手持力的测量。</w:t>
      </w:r>
    </w:p>
    <w:bookmarkEnd w:id="17"/>
    <w:p w14:paraId="4E78815B">
      <w:pPr>
        <w:pStyle w:val="4"/>
        <w:numPr>
          <w:ilvl w:val="2"/>
          <w:numId w:val="0"/>
        </w:numPr>
        <w:snapToGrid w:val="0"/>
      </w:pPr>
      <w:bookmarkStart w:id="18" w:name="位姿映射与底盘补偿"/>
      <w:r>
        <w:t xml:space="preserve">3) </w:t>
      </w:r>
      <w:r>
        <w:rPr>
          <w:rFonts w:hint="eastAsia"/>
        </w:rPr>
        <w:t>位姿映射与底盘补偿</w:t>
      </w:r>
    </w:p>
    <w:p w14:paraId="0CF8E7EC">
      <w:pPr>
        <w:pStyle w:val="7"/>
        <w:numPr>
          <w:ilvl w:val="0"/>
          <w:numId w:val="0"/>
        </w:numPr>
        <w:snapToGrid w:val="0"/>
        <w:rPr>
          <w:sz w:val="20"/>
        </w:rPr>
      </w:pPr>
      <w:r>
        <w:rPr>
          <w:rFonts w:hint="eastAsia"/>
          <w:sz w:val="20"/>
          <w:szCs w:val="20"/>
        </w:rPr>
        <w:t>主端初始化时记录平移零点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0</m:t>
            </m:r>
          </m:sub>
        </m:sSub>
      </m:oMath>
      <w:r>
        <w:rPr>
          <w:sz w:val="20"/>
          <w:szCs w:val="20"/>
        </w:rPr>
        <w:t xml:space="preserve"> </w:t>
      </w:r>
      <w:r>
        <w:rPr>
          <w:rFonts w:hint="eastAsia"/>
          <w:sz w:val="20"/>
          <w:szCs w:val="20"/>
        </w:rPr>
        <w:t>与从端参考点</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0</m:t>
            </m:r>
          </m:sub>
        </m:sSub>
      </m:oMath>
      <w:r>
        <w:rPr>
          <w:rFonts w:hint="eastAsia"/>
          <w:sz w:val="20"/>
          <w:szCs w:val="20"/>
        </w:rPr>
        <w:t>，经坐标对齐后的主从位置映射为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sz w:val="20"/>
          <w:szCs w:val="20"/>
        </w:rPr>
        <w:t xml:space="preserve"> </w:t>
      </w:r>
      <w:r>
        <w:rPr>
          <w:rFonts w:hint="eastAsia"/>
          <w:sz w:val="20"/>
          <w:szCs w:val="20"/>
        </w:rPr>
        <w:t>为固定坐标校准旋转，</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为无量纲缩放矩阵。较小缩放系数可减小从端对手部位移的响应，但不能消除机械误差。重置按钮更新参考点时，应保持从端目标连续。</w:t>
      </w:r>
    </w:p>
    <w:p w14:paraId="39B0740A">
      <w:pPr>
        <w:pStyle w:val="7"/>
        <w:numPr>
          <w:ilvl w:val="0"/>
          <w:numId w:val="0"/>
        </w:numPr>
        <w:snapToGrid w:val="0"/>
        <w:rPr>
          <w:sz w:val="20"/>
        </w:rPr>
      </w:pPr>
      <w:r>
        <w:rPr>
          <w:rFonts w:hint="eastAsia"/>
          <w:sz w:val="20"/>
          <w:szCs w:val="20"/>
        </w:rPr>
        <w:t>姿态手柄的三个编码器角记为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oMath>
      <w:r>
        <w:rPr>
          <w:rFonts w:hint="eastAsia"/>
          <w:sz w:val="20"/>
          <w:szCs w:val="20"/>
        </w:rPr>
        <w:t>，根据其真实串联转轴顺序求得</w:t>
      </w:r>
      <w:r>
        <w:rPr>
          <w:sz w:val="20"/>
          <w:szCs w:val="20"/>
        </w:rPr>
        <w:t xml:space="preserve">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oMath>
      <w:r>
        <w:rPr>
          <w:rFonts w:hint="eastAsia"/>
          <w:sz w:val="20"/>
          <w:szCs w:val="20"/>
        </w:rPr>
        <w:t>，再施加固定安装变换：</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1</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cal,</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编码器角不能未经变换就当作从端的滚转、俯仰、偏航角。报告将旋转矩阵转换为欧拉角传输，接收端需采用一致的旋转顺序和角度环绕处理。位置与姿态组成目标齐次变换后，再进入机械臂解析逆解。</w:t>
      </w:r>
    </w:p>
    <w:p w14:paraId="4BCDE9C3">
      <w:pPr>
        <w:pStyle w:val="7"/>
        <w:numPr>
          <w:ilvl w:val="0"/>
          <w:numId w:val="0"/>
        </w:numPr>
        <w:snapToGrid w:val="0"/>
        <w:rPr>
          <w:sz w:val="20"/>
        </w:rPr>
      </w:pPr>
      <w:r>
        <w:rPr>
          <w:rFonts w:hint="eastAsia"/>
          <w:sz w:val="20"/>
          <w:szCs w:val="20"/>
        </w:rPr>
        <w:t>当目标超过机械臂设定的水平操作区间时，报告采用末端位置限幅和底盘平移补偿。设</w:t>
      </w:r>
      <w:r>
        <w:rPr>
          <w:sz w:val="20"/>
          <w:szCs w:val="20"/>
        </w:rPr>
        <w:t xml:space="preserve"> </w:t>
      </w:r>
      <m:oMath>
        <m:sSub>
          <m:sSubPr/>
          <m:e>
            <m:r>
              <m:rPr>
                <m:sty m:val="p"/>
              </m:rPr>
              <w:rPr>
                <w:rFonts w:ascii="Cambria Math" w:hAnsi="Cambria Math" w:eastAsia="Cambria Math" w:cs="Cambria Math"/>
                <w:sz w:val="20"/>
                <w:szCs w:val="20"/>
              </w:rPr>
              <m:t>Π</m:t>
            </m:r>
          </m:e>
          <m:sub>
            <m:r>
              <m:rPr>
                <m:sty m:val="p"/>
                <m:scr m:val="script"/>
              </m:rPr>
              <w:rPr>
                <w:rFonts w:ascii="Cambria Math" w:hAnsi="Cambria Math" w:eastAsia="Cambria Math" w:cs="Cambria Math"/>
                <w:sz w:val="20"/>
                <w:szCs w:val="20"/>
              </w:rPr>
              <m:t>ℬ</m:t>
            </m:r>
          </m:sub>
        </m:sSub>
      </m:oMath>
      <w:r>
        <w:rPr>
          <w:sz w:val="20"/>
          <w:szCs w:val="20"/>
        </w:rPr>
        <w:t xml:space="preserve"> </w:t>
      </w:r>
      <w:r>
        <w:rPr>
          <w:rFonts w:hint="eastAsia"/>
          <w:sz w:val="20"/>
          <w:szCs w:val="20"/>
        </w:rPr>
        <w:t>为对配置的笛卡尔边界盒逐分量截断，定义</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p"/>
                          </m:rPr>
                          <w:rPr>
                            <w:rFonts w:ascii="Cambria Math" w:hAnsi="Cambria Math" w:eastAsia="Cambria Math" w:cs="Cambria Math"/>
                            <w:sz w:val="18"/>
                            <w:szCs w:val="18"/>
                          </w:rPr>
                          <m:t>Π</m:t>
                        </m:r>
                      </m:e>
                      <m:sub>
                        <m:r>
                          <m:rPr>
                            <m:sty m:val="p"/>
                            <m:scr m:val="script"/>
                          </m:rPr>
                          <w:rPr>
                            <w:rFonts w:ascii="Cambria Math" w:hAnsi="Cambria Math" w:eastAsia="Cambria Math" w:cs="Cambria Math"/>
                            <w:sz w:val="18"/>
                            <w:szCs w:val="18"/>
                          </w:rPr>
                          <m:t>ℬ</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P</m:t>
                        </m:r>
                      </m:e>
                      <m:sub>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bar>
                              <m:barPr>
                                <m:pos m:val="top"/>
                              </m:barPr>
                              <m:e>
                                <m:r>
                                  <m:rPr>
                                    <m:sty m:val="bi"/>
                                  </m:rPr>
                                  <w:rPr>
                                    <w:rFonts w:ascii="Cambria Math" w:hAnsi="Cambria Math" w:eastAsia="Cambria Math" w:cs="Cambria Math"/>
                                    <w:sz w:val="18"/>
                                    <w:szCs w:val="18"/>
                                  </w:rPr>
                                  <m:t>p</m:t>
                                </m:r>
                              </m:e>
                            </m:ba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qAr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其中</w:t>
      </w:r>
      <w:r>
        <w:rPr>
          <w:sz w:val="20"/>
          <w:szCs w:val="20"/>
        </w:rPr>
        <w:t xml:space="preserve"> </w:t>
      </w:r>
      <m:oMath>
        <m:sSub>
          <m:sSubPr/>
          <m:e>
            <m:r>
              <m:rPr>
                <m:sty m:val="b"/>
              </m:rPr>
              <w:rPr>
                <w:rFonts w:ascii="Cambria Math" w:hAnsi="Cambria Math" w:eastAsia="Cambria Math" w:cs="Cambria Math"/>
                <w:sz w:val="20"/>
                <w:szCs w:val="20"/>
              </w:rPr>
              <m:t>P</m:t>
            </m:r>
          </m:e>
          <m:sub>
            <m:r>
              <m:rPr/>
              <w:rPr>
                <w:rFonts w:ascii="Cambria Math" w:hAnsi="Cambria Math" w:eastAsia="Cambria Math" w:cs="Cambria Math"/>
                <w:sz w:val="20"/>
                <w:szCs w:val="20"/>
              </w:rPr>
              <m:t>xy</m:t>
            </m:r>
          </m:sub>
        </m:sSub>
      </m:oMath>
      <w:r>
        <w:rPr>
          <w:sz w:val="20"/>
          <w:szCs w:val="20"/>
        </w:rPr>
        <w:t xml:space="preserve"> </w:t>
      </w:r>
      <w:r>
        <w:rPr>
          <w:rFonts w:hint="eastAsia"/>
          <w:sz w:val="20"/>
          <w:szCs w:val="20"/>
        </w:rPr>
        <w:t>取出水平分量。为避免每周期重复累计同一越界量，底盘参考增量采用</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b,d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map,</m:t>
                    </m:r>
                    <m:r>
                      <m:rPr/>
                      <w:rPr>
                        <w:rFonts w:ascii="Cambria Math" w:hAnsi="Cambria Math" w:eastAsia="Cambria Math" w:cs="Cambria Math"/>
                        <w:sz w:val="18"/>
                        <w:szCs w:val="18"/>
                      </w:rPr>
                      <m:t>xy</m:t>
                    </m:r>
                  </m:sub>
                </m:sSub>
                <m:d>
                  <m:dPr>
                    <m:sepChr m:val=""/>
                  </m:dPr>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comp</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map,</m:t>
            </m:r>
            <m:r>
              <m:rPr/>
              <w:rPr>
                <w:rFonts w:ascii="Cambria Math" w:hAnsi="Cambria Math" w:eastAsia="Cambria Math" w:cs="Cambria Math"/>
                <w:sz w:val="20"/>
                <w:szCs w:val="20"/>
              </w:rPr>
              <m:t>xy</m:t>
            </m:r>
          </m:sub>
        </m:sSub>
      </m:oMath>
      <w:r>
        <w:rPr>
          <w:sz w:val="20"/>
          <w:szCs w:val="20"/>
        </w:rPr>
        <w:t xml:space="preserve"> </w:t>
      </w:r>
      <w:r>
        <w:rPr>
          <w:rFonts w:hint="eastAsia"/>
          <w:sz w:val="20"/>
          <w:szCs w:val="20"/>
        </w:rPr>
        <w:t>表示在底盘近似水平、朝向固定时，从机械臂水平轴到导航水平轴的二维旋转。实际状态机需明确目标回到区间内时是否回退底盘，以及如何更新参考零点；报告代码片段不足以验证所有切换行为。边界盒也不是机械臂真实可达集，截断后仍须检查逆解、碰撞和关节联动限制。垂直方向沿用报告的限幅方式，不将其写成已实现的底盘升降补偿。</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(36)</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rFonts w:hint="eastAsia"/>
          <w:sz w:val="20"/>
          <w:szCs w:val="20"/>
        </w:rPr>
        <w:t xml:space="preserve"> 为采样周期（s），</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(37)</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10.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11.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 w:name="华文中宋">
    <w:panose1 w:val="02010600040101010101"/>
    <w:charset w:val="86"/>
    <w:family w:val="auto"/>
    <w:pitch w:val="default"/>
    <w:sig w:usb0="00000287" w:usb1="080F0000" w:usb2="00000000" w:usb3="00000000" w:csb0="000400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6EFF9550"/>
    <w:rsid w:val="7D7BC468"/>
    <w:rsid w:val="7F7C0272"/>
    <w:rsid w:val="7FFB82DC"/>
    <w:rsid w:val="7FFD2014"/>
    <w:rsid w:val="C7EFD916"/>
    <w:rsid w:val="D1E9525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14" Type="http://schemas.openxmlformats.org/officeDocument/2006/relationships/image" Target="media/delta_geometry.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8</Pages>
  <Words>2151</Words>
  <Characters>12267</Characters>
  <Lines>102</Lines>
  <Paragraphs>28</Paragraphs>
  <TotalTime>20</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2026-10-07T18:20:00Z</dcterms:created>
  <dc:creator>赵苏亚</dc:creator>
  <cp:lastModifiedBy>赵苏亚</cp:lastModifiedBy>
  <dcterms:modified xsi:type="dcterms:W3CDTF">2026-10-06T22:15:18Z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