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通过主从坐标校准与位姿映射，将主手输入转换为机械臂关节指令，并采用主手重力补偿减轻静态持握负担。本文建立了从机构设计、运动学建模到模型前馈与关节控制的完整方法，为系统的嵌入式实现提供依据。</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1B8FE646">
      <w:pPr>
        <w:pStyle w:val="2"/>
        <w:numPr>
          <w:ilvl w:val="0"/>
          <w:numId w:val="0"/>
        </w:numPr>
        <w:snapToGrid w:val="0"/>
      </w:pPr>
      <w:bookmarkStart w:id="2" w:name="iii.-提出的方法proposed-method"/>
      <w:r>
        <w:t>I. 提出的方法</w:t>
      </w:r>
      <w:r>
        <w:rPr>
          <w:rFonts w:hint="eastAsia"/>
        </w:rPr>
        <w:t>（Proposed</w:t>
      </w:r>
      <w:r>
        <w:t xml:space="preserve"> </w:t>
      </w:r>
      <w:r>
        <w:rPr>
          <w:rFonts w:hint="eastAsia"/>
        </w:rPr>
        <w:t>Method）</w:t>
      </w:r>
    </w:p>
    <w:p w14:paraId="33EBB027">
      <w:pPr>
        <w:pStyle w:val="3"/>
        <w:numPr>
          <w:ilvl w:val="1"/>
          <w:numId w:val="0"/>
        </w:numPr>
        <w:snapToGrid w:val="0"/>
      </w:pPr>
      <w:bookmarkStart w:id="3"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系统由机器人端的底盘、机械臂模块和操作者侧的 Delta 遥操作控制器组成，分别承担移动与姿态调节、末端操作和位姿输入。机器人端包含十二自由度底盘、六转动关节机械臂及单自由度夹爪，共十九个主动自由度；遥操作主手的三个平移自由度与三个姿态输入自由度单独计数。机器人端与主手的模块划分及主要坐标系如 Fig. 1 所示。</w:t>
      </w:r>
    </w:p>
    <w:p w14:paraId="6F10A101">
      <w:pPr>
        <w:pStyle w:val="7"/>
        <w:numPr>
          <w:ilvl w:val="0"/>
          <w:numId w:val="0"/>
        </w:numPr>
        <w:snapToGrid w:val="0"/>
        <w:rPr>
          <w:sz w:val="20"/>
        </w:rPr>
      </w:pPr>
      <w:r>
        <w:rPr>
          <w:rFonts w:hint="eastAsia"/>
          <w:sz w:val="20"/>
          <w:szCs w:val="20"/>
        </w:rPr>
        <w:t>底盘采用四轮足构型，每条腿由两个俯仰关节和一个麦克纳姆轮驱动自由度组成。腿部关节调节支撑高度和机身姿态，四个车轮配合实现平面全向运动。基座由碳纤维方管、铝方管、板材及连接件构成分层框架；每条腿的两路关节驱动集中在髋部，并利用平行四边形机构传递膝部运动，以减小小腿运动时的惯性负担 [1]。</w:t>
      </w:r>
    </w:p>
    <w:p w14:paraId="6F10A102">
      <w:pPr>
        <w:pStyle w:val="7"/>
        <w:numPr>
          <w:ilvl w:val="0"/>
          <w:numId w:val="0"/>
        </w:numPr>
        <w:snapToGrid w:val="0"/>
        <w:rPr>
          <w:sz w:val="20"/>
        </w:rPr>
      </w:pPr>
      <w:r>
        <w:rPr>
          <w:rFonts w:hint="eastAsia"/>
          <w:sz w:val="20"/>
          <w:szCs w:val="20"/>
        </w:rPr>
        <w:t>机械臂模块安装于底盘上方，由六轴串联机械臂和夹爪组成。机械臂采用肘式臂与球腕结构，并按 Denavit–Hartenberg（DH）法定义关节坐标系；前三个关节主要确定腕心位置，后三个关节确定末端姿态；夹爪的开合自由度用于抓取。机械臂连杆采用碳纤维板与铝制加工件，夹爪采用连杆与滑轨机构 [1]。</w:t>
      </w:r>
    </w:p>
    <w:p w14:paraId="6F10A103">
      <w:pPr>
        <w:pStyle w:val="7"/>
        <w:numPr>
          <w:ilvl w:val="0"/>
          <w:numId w:val="0"/>
        </w:numPr>
        <w:snapToGrid w:val="0"/>
        <w:rPr>
          <w:sz w:val="20"/>
        </w:rPr>
      </w:pPr>
      <w:r>
        <w:rPr>
          <w:rFonts w:hint="eastAsia"/>
          <w:sz w:val="20"/>
          <w:szCs w:val="20"/>
        </w:rPr>
        <w:t>遥操作控制器作为主手，以三支链 Delta 并联机构测量三维位置，以安装在动平台上的三编码器手柄测量姿态。平行四边形从动臂使动平台始终与静平台保持平行，将平移输入与姿态输入分离；手柄从 j1 到 j3 依次对应动轴滚转（roll）、俯仰（pitch）和偏航（yaw），简称 RPY。主手通过正运动学获得位置和姿态，并经无线链路向作为从手的机械臂发送位姿指令；主手的力矩前馈用于补偿自身重力，减轻静态持握负担。</w:t>
      </w:r>
    </w:p>
    <w:p w14:paraId="6F100001">
      <w:pPr>
        <w:keepNext/>
        <w:keepLines/>
        <w:numPr>
          <w:ilvl w:val="0"/>
          <w:numId w:val="0"/>
        </w:numPr>
        <w:snapToGrid w:val="0"/>
        <w:spacing w:before="60" w:after="60" w:line="240" w:lineRule="auto"/>
        <w:ind w:left="0" w:right="0" w:firstLine="0"/>
        <w:jc w:val="center"/>
      </w:pPr>
      <w:r>
        <w:drawing>
          <wp:inline distT="0" distB="0" distL="0" distR="0">
            <wp:extent cx="3059430" cy="3126105"/>
            <wp:effectExtent l="0" t="0" r="7620" b="7620"/>
            <wp:docPr id="32" name="Fig. 1" descr="Whole-robot modules and world, body, leg and arm DH base coordinate fr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Fig. 1" descr="Whole-robot modules and world, body, leg and arm DH base coordinate frames"/>
                    <pic:cNvPicPr>
                      <a:picLocks noChangeAspect="1"/>
                    </pic:cNvPicPr>
                  </pic:nvPicPr>
                  <pic:blipFill>
                    <a:blip r:embed="rId4"/>
                    <a:stretch>
                      <a:fillRect/>
                    </a:stretch>
                  </pic:blipFill>
                  <pic:spPr>
                    <a:xfrm>
                      <a:off x="0" y="0"/>
                      <a:ext cx="3060000" cy="3126575"/>
                    </a:xfrm>
                    <a:prstGeom prst="rect">
                      <a:avLst/>
                    </a:prstGeom>
                  </pic:spPr>
                </pic:pic>
              </a:graphicData>
            </a:graphic>
          </wp:inline>
        </w:drawing>
      </w:r>
    </w:p>
    <w:p w14:paraId="6F100003">
      <w:pPr>
        <w:keepNext/>
        <w:keepLines/>
        <w:numPr>
          <w:ilvl w:val="0"/>
          <w:numId w:val="0"/>
        </w:numPr>
        <w:snapToGrid w:val="0"/>
        <w:spacing w:before="0" w:after="60"/>
        <w:ind w:left="0" w:right="0" w:firstLine="0"/>
        <w:jc w:val="center"/>
      </w:pPr>
      <w:r>
        <w:rPr>
          <w:rFonts w:ascii="Times New Roman" w:hAnsi="Times New Roman"/>
          <w:sz w:val="18"/>
          <w:szCs w:val="18"/>
        </w:rPr>
        <w:t>(a) Robot</w:t>
      </w:r>
    </w:p>
    <w:p w14:paraId="6F100004">
      <w:pPr>
        <w:keepNext/>
        <w:keepLines/>
        <w:numPr>
          <w:ilvl w:val="0"/>
          <w:numId w:val="0"/>
        </w:numPr>
        <w:snapToGrid w:val="0"/>
        <w:spacing w:before="60" w:after="60" w:line="240" w:lineRule="auto"/>
        <w:ind w:left="0" w:right="0" w:firstLine="0"/>
        <w:jc w:val="center"/>
      </w:pPr>
      <w:r>
        <w:drawing>
          <wp:inline distT="0" distB="0" distL="0" distR="0">
            <wp:extent cx="3059430" cy="3877945"/>
            <wp:effectExtent l="0" t="0" r="7620" b="8255"/>
            <wp:docPr id="33" name="Fig. 1(b)" descr="Teleoperation controller, Delta robot and three-axis handle with base frame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 1(b)" descr="Teleoperation controller, Delta robot and three-axis handle with base frame D"/>
                    <pic:cNvPicPr>
                      <a:picLocks noChangeAspect="1"/>
                    </pic:cNvPicPr>
                  </pic:nvPicPr>
                  <pic:blipFill>
                    <a:blip r:embed="rId5"/>
                    <a:stretch>
                      <a:fillRect/>
                    </a:stretch>
                  </pic:blipFill>
                  <pic:spPr>
                    <a:xfrm>
                      <a:off x="0" y="0"/>
                      <a:ext cx="3060000" cy="3878564"/>
                    </a:xfrm>
                    <a:prstGeom prst="rect">
                      <a:avLst/>
                    </a:prstGeom>
                  </pic:spPr>
                </pic:pic>
              </a:graphicData>
            </a:graphic>
          </wp:inline>
        </w:drawing>
      </w:r>
    </w:p>
    <w:p w14:paraId="6F100005">
      <w:pPr>
        <w:keepNext/>
        <w:keepLines/>
        <w:numPr>
          <w:ilvl w:val="0"/>
          <w:numId w:val="0"/>
        </w:numPr>
        <w:snapToGrid w:val="0"/>
        <w:spacing w:before="0" w:after="60"/>
        <w:ind w:left="0" w:right="0" w:firstLine="0"/>
        <w:jc w:val="center"/>
      </w:pPr>
      <w:r>
        <w:rPr>
          <w:rFonts w:ascii="Times New Roman" w:hAnsi="Times New Roman"/>
          <w:sz w:val="18"/>
          <w:szCs w:val="18"/>
        </w:rPr>
        <w:t>(b) Teleoperation controller</w:t>
      </w:r>
    </w:p>
    <w:p w14:paraId="6F100002">
      <w:pPr>
        <w:pStyle w:val="18"/>
        <w:keepLines/>
        <w:numPr>
          <w:ilvl w:val="0"/>
          <w:numId w:val="0"/>
        </w:numPr>
        <w:snapToGrid w:val="0"/>
      </w:pPr>
      <w:r>
        <w:t>Fig. 1. 系统模块划分与坐标系。（a）机器人端：橙色和青色分别表示机械臂模块、底盘模块；{s} 为惯性系，{b} 位于基座中心，{leg} 位于图示腿的髋关节，{0} 为机械臂 DH 基坐标系，图示前方朝右。（b）遥操作控制器：紫色区域标记整个主手，较淡的蓝色和橙色区域分别标记 Delta 机械臂和三轴手柄；{D} 的原点 O 位于静平台中心，P 为动平台中心。各坐标系均采用右手约定。</w:t>
      </w:r>
    </w:p>
    <w:p w14:paraId="06F7C4A3">
      <w:pPr>
        <w:pStyle w:val="7"/>
        <w:numPr>
          <w:ilvl w:val="0"/>
          <w:numId w:val="0"/>
        </w:numPr>
        <w:snapToGrid w:val="0"/>
        <w:rPr>
          <w:sz w:val="20"/>
        </w:rPr>
      </w:pPr>
      <w:r>
        <w:rPr>
          <w:rFonts w:hint="eastAsia"/>
          <w:sz w:val="20"/>
          <w:szCs w:val="20"/>
        </w:rPr>
        <w:t>整机控制流程如 Fig. 2 所示。底盘接收期望平动速度、加速度、基准高度及滚转、俯仰姿态角，分为关节控制器、麦克纳姆轮控制器和模型前馈三路。姿态角度—角速度双环比例（proportional，P）控制器根据惯性测量单元（inertial measurement unit，IMU）的反馈产生等效腿长增量，经累加、腿高分配和腿部逆运动学得到目标关节角，再由单关节位置—速度串级比例–积分–微分（proportional–integral–derivative，PID）控制输出控制力矩；麦克纳姆轮运动学给出轮电机目标速度，由速度环 PID 输出控制力矩。前馈侧先由单刚体动力学分配期望足端力，再经轮体动力学与腿部连杆力映射得到电机前馈力矩。关节和轮电机分别将控制器输出与对应前馈力矩相加。</w:t>
      </w:r>
    </w:p>
    <w:p w14:paraId="6F10A104">
      <w:pPr>
        <w:pStyle w:val="7"/>
        <w:numPr>
          <w:ilvl w:val="0"/>
          <w:numId w:val="0"/>
        </w:numPr>
        <w:snapToGrid w:val="0"/>
        <w:rPr>
          <w:sz w:val="20"/>
        </w:rPr>
      </w:pPr>
      <w:r>
        <w:rPr>
          <w:rFonts w:hint="eastAsia"/>
          <w:sz w:val="20"/>
          <w:szCs w:val="20"/>
        </w:rPr>
        <w:t>机械臂控制链以主手位姿为输入，经位置缩放和姿态转换构造从端目标齐次变换矩阵，再由解析逆运动学生成六轴关节目标。关节层根据编码器反馈进行位置—速度串级控制，并叠加机械臂重力前馈。由此，主手在笛卡尔空间描述操作意图，机械臂在关节空间执行指令；底盘依据自身运动指令与 IMU、编码器反馈完成移动和支撑调节。</w:t>
      </w:r>
    </w:p>
    <w:p w14:paraId="11FB4EBB">
      <w:pPr>
        <w:keepNext/>
        <w:keepLines/>
        <w:numPr>
          <w:ilvl w:val="0"/>
          <w:numId w:val="0"/>
        </w:numPr>
        <w:snapToGrid w:val="0"/>
        <w:spacing w:before="60" w:after="60" w:line="240" w:lineRule="auto"/>
        <w:ind w:left="0" w:right="0" w:firstLine="0"/>
        <w:jc w:val="center"/>
      </w:pPr>
      <w:r>
        <w:drawing>
          <wp:inline distT="0" distB="0" distL="0" distR="0">
            <wp:extent cx="3059430" cy="7368540"/>
            <wp:effectExtent l="0" t="0" r="7620" b="3810"/>
            <wp:docPr id="31" name="Fig. 2" descr="整机控制流程：遥操作与机械臂控制、底盘控制及测量反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 2" descr="整机控制流程：遥操作与机械臂控制、底盘控制及测量反馈"/>
                    <pic:cNvPicPr>
                      <a:picLocks noChangeAspect="1"/>
                    </pic:cNvPicPr>
                  </pic:nvPicPr>
                  <pic:blipFill>
                    <a:blip r:embed="rId6"/>
                    <a:stretch>
                      <a:fillRect/>
                    </a:stretch>
                  </pic:blipFill>
                  <pic:spPr>
                    <a:xfrm>
                      <a:off x="0" y="0"/>
                      <a:ext cx="3060000" cy="7368980"/>
                    </a:xfrm>
                    <a:prstGeom prst="rect">
                      <a:avLst/>
                    </a:prstGeom>
                  </pic:spPr>
                </pic:pic>
              </a:graphicData>
            </a:graphic>
          </wp:inline>
        </w:drawing>
      </w:r>
    </w:p>
    <w:p w14:paraId="4CFCF1DB">
      <w:pPr>
        <w:pStyle w:val="18"/>
        <w:numPr>
          <w:ilvl w:val="0"/>
          <w:numId w:val="0"/>
        </w:numPr>
        <w:snapToGrid w:val="0"/>
      </w:pPr>
      <w:r>
        <w:rPr>
          <w:rFonts w:hint="eastAsia"/>
        </w:rPr>
        <w:t>Fig. 2. 整机控制流程。（a）遥操作位姿映射与机械臂控制。（b）底盘关节控制、麦克纳姆轮控制及前馈三路结构；单刚体动力学得到期望足端力，经轮体动力学与腿部连杆力映射得到电机前馈力矩。关节与轮电机分别将控制器输出和前馈力矩相加。实线为前向信号路径，虚线为测量反馈；FF 表示前馈（feedforward）。</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r>
        <w:rPr>
          <w:rFonts w:ascii="Times New Roman" w:hAnsi="Times New Roman" w:eastAsia="宋体"/>
          <w:sz w:val="20"/>
          <w:szCs w:val="20"/>
        </w:rPr>
        <w:t xml:space="preserve">点号表示对时间求导，带期望标记时表示对应导数量的参考值；</w:t>
      </w:r>
      <m:oMath>
        <m:sSub>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ascii="Times New Roman" w:hAnsi="Times New Roman" w:eastAsia="宋体"/>
          <w:sz w:val="20"/>
          <w:szCs w:val="20"/>
        </w:rPr>
        <w:t xml:space="preserve"> 分别表示所在坐标系的三个坐标轴单位矢量。</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p w14:paraId="6F10A105">
      <w:pPr>
        <w:pStyle w:val="7"/>
        <w:numPr>
          <w:ilvl w:val="0"/>
          <w:numId w:val="0"/>
        </w:numPr>
        <w:snapToGrid w:val="0"/>
        <w:rPr>
          <w:sz w:val="20"/>
        </w:rPr>
      </w:pPr>
      <w:r>
        <w:rPr>
          <w:rFonts w:hint="eastAsia"/>
          <w:sz w:val="20"/>
          <w:szCs w:val="20"/>
        </w:rPr>
        <w:t>机械臂 DH 基坐标系 {0} 位于机械臂底座安装基准处，固连于机器人端；遥操作映射中的从端基坐标系 {A} 与 {0} 表示同一坐标系。主手基坐标系 {D} 固连 Delta 静平台，原点位于静平台中心，轴向按 I-D 节定义。上述坐标系均采用右手约定，主手位姿须经坐标变换后用于从端逆运动学。</w:t>
      </w:r>
    </w:p>
    <w:bookmarkEnd w:id="3"/>
    <w:p w14:paraId="74A6E45F">
      <w:pPr>
        <w:pStyle w:val="3"/>
        <w:numPr>
          <w:ilvl w:val="1"/>
          <w:numId w:val="0"/>
        </w:numPr>
        <w:snapToGrid w:val="0"/>
      </w:pPr>
      <w:bookmarkStart w:id="4" w:name="b.-底盘模块"/>
      <w:r>
        <w:t xml:space="preserve">B. </w:t>
      </w:r>
      <w:r>
        <w:rPr>
          <w:rFonts w:hint="eastAsia"/>
        </w:rPr>
        <w:t>底盘模块</w:t>
      </w:r>
    </w:p>
    <w:p w14:paraId="05A1A8C5">
      <w:pPr>
        <w:pStyle w:val="4"/>
        <w:numPr>
          <w:ilvl w:val="2"/>
          <w:numId w:val="0"/>
        </w:numPr>
        <w:snapToGrid w:val="0"/>
      </w:pPr>
      <w:bookmarkStart w:id="5" w:name="概述与单腿运动学"/>
      <w:r>
        <w:t xml:space="preserve">1) 概述</w:t>
      </w:r>
      <w:r>
        <w:rPr>
          <w:rFonts w:hint="eastAsia"/>
        </w:rPr>
        <w:t xml:space="preserve"/>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采用“单腿建模—整机合力分配—关节执行”的分层结构。腿部关节调整支撑高度与前后轮心位置，车轮负责平面滚动。</w:t>
      </w:r>
    </w:p>
    <w:p w14:paraId="6F10B002">
      <w:pPr>
        <w:pStyle w:val="4"/>
        <w:numPr>
          <w:ilvl w:val="2"/>
          <w:numId w:val="0"/>
        </w:numPr>
        <w:snapToGrid w:val="0"/>
      </w:pPr>
      <w:r>
        <w:t xml:space="preserve">2) 单腿运动学</w:t>
      </w:r>
      <w:r>
        <w:rPr>
          <w:rFonts w:hint="eastAsia"/>
        </w:rPr>
        <w:t xml:space="preserve"/>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。本文以轮轴中心作为单腿运动学的末端参考点，并与轮地触点区分。零位为两连杆沿腿基系负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3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3"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3" descr="单腿结构与坐标系示意图"/>
                    <pic:cNvPicPr>
                      <a:picLocks noChangeAspect="1"/>
                    </pic:cNvPicPr>
                  </pic:nvPicPr>
                  <pic:blipFill>
                    <a:blip r:embed="rId7"/>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3. </w:t>
      </w:r>
      <w:r>
        <w:rPr>
          <w:rFonts w:hint="eastAsia"/>
          <w:iCs/>
        </w:rPr>
        <w:t>单腿结构与坐标系示意（图中角度标记表示机构几何关系，解算零位以正文为准）。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jc w:val="center"/>
              <w:rPr>
                <w:sz w:val="16"/>
              </w:rPr>
            </w:pPr>
            <w:r>
              <w:rPr>
                <w:rFonts w:hint="eastAsia" w:hAnsi="Cambria Math" w:cs="Cambria Math"/>
                <w:b w:val="0"/>
                <w:i w:val="0"/>
                <w:sz w:val="16"/>
                <w:szCs w:val="16"/>
                <w:lang w:val="en-US" w:eastAsia="zh-CN"/>
              </w:rPr>
              <w:t>0.07 </w:t>
            </w:r>
            <m:oMath>
              <m:r>
                <m:rPr>
                  <m:sty m:val="p"/>
                </m:rPr>
                <w:rPr>
                  <w:rFonts w:ascii="Cambria Math" w:hAnsi="Cambria Math" w:eastAsia="Cambria Math" w:cs="Cambria Math"/>
                  <w:sz w:val="16"/>
                  <w:szCs w:val="16"/>
                </w:rPr>
                <m:t>m</m:t>
              </m:r>
            </m:oMath>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采用轮心位于髋部下方的几何逆解分支，定义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rFonts w:hint="eastAsia" w:eastAsia="SimSun"/>
          <w:sz w:val="20"/>
          <w:lang w:eastAsia="zh-CN"/>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m:rPr/>
        <w:rPr>
          <w:rFonts w:hint="eastAsia" w:hAnsi="Cambria Math" w:cs="Cambria Math"/>
          <w:i w:val="0"/>
          <w:sz w:val="20"/>
          <w:szCs w:val="20"/>
          <w:lang w:eastAsia="zh-CN"/>
        </w:rPr>
        <w:t>。</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5"/>
    </w:tbl>
    <w:p w14:paraId="0DA70F03">
      <w:pPr>
        <w:pStyle w:val="4"/>
        <w:numPr>
          <w:ilvl w:val="2"/>
          <w:numId w:val="0"/>
        </w:numPr>
        <w:snapToGrid w:val="0"/>
      </w:pPr>
      <w:bookmarkStart w:id="6" w:name="麦克纳姆轮运动学"/>
      <w:r>
        <w:t xml:space="preserve">3) 麦克纳姆轮运动学</w:t>
      </w:r>
      <w:r>
        <w:rPr>
          <w:rFonts w:hint="eastAsia"/>
        </w:rPr>
        <w:t xml:space="preserve"/>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4 </w:t>
      </w:r>
      <w:r>
        <w:rPr>
          <w:rFonts w:hint="eastAsia"/>
          <w:sz w:val="20"/>
          <w:szCs w:val="20"/>
        </w:rPr>
        <w:t>给出两种轮体结构。与普通车轮相比，被动辊子允许接触点沿特定方向运动，四轮适当配置后可产生前进、侧移和偏航运动。</w:t>
      </w:r>
    </w:p>
    <w:tbl>
      <w:tblPr>
        <w:tblStyle w:val="10"/>
        <w:tblW w:w="47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40" w:type="dxa"/>
          <w:bottom w:w="0" w:type="dxa"/>
          <w:right w:w="40" w:type="dxa"/>
        </w:tblCellMar>
      </w:tblPr>
      <w:tblGrid>
        <w:gridCol w:w="2380"/>
        <w:gridCol w:w="2380"/>
      </w:tblGrid>
      <w:tr w14:paraId="3EC7A3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40" w:type="dxa"/>
            <w:bottom w:w="0" w:type="dxa"/>
            <w:right w:w="40" w:type="dxa"/>
          </w:tblCellMar>
        </w:tblPrEx>
        <w:trPr>
          <w:cantSplit/>
          <w:jc w:val="center"/>
        </w:trPr>
        <w:tc>
          <w:tcPr>
            <w:tcW w:w="2380" w:type="dxa"/>
            <w:vAlign w:val="top"/>
          </w:tcPr>
          <w:p w14:paraId="0565082C">
            <w:pPr>
              <w:keepNext/>
              <w:numPr>
                <w:ilvl w:val="0"/>
                <w:numId w:val="0"/>
              </w:numPr>
              <w:snapToGrid w:val="0"/>
              <w:spacing w:before="0" w:after="40" w:line="240" w:lineRule="auto"/>
              <w:ind w:left="0" w:right="0" w:firstLine="0"/>
              <w:jc w:val="center"/>
            </w:pPr>
            <w:r>
              <w:drawing>
                <wp:inline distT="0" distB="0" distL="0" distR="0">
                  <wp:extent cx="1439545" cy="467995"/>
                  <wp:effectExtent l="0" t="0" r="5080" b="6985"/>
                  <wp:docPr id="20" name="Picture" descr="Fig. 4(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4(a). A 型麦克纳姆轮结构。"/>
                          <pic:cNvPicPr>
                            <a:picLocks noChangeAspect="1" noChangeArrowheads="1"/>
                          </pic:cNvPicPr>
                        </pic:nvPicPr>
                        <pic:blipFill>
                          <a:blip r:embed="rId8"/>
                          <a:srcRect l="4706" t="17564" r="8015" b="15381"/>
                          <a:stretch>
                            <a:fillRect/>
                          </a:stretch>
                        </pic:blipFill>
                        <pic:spPr>
                          <a:xfrm>
                            <a:off x="0" y="0"/>
                            <a:ext cx="1440000" cy="468623"/>
                          </a:xfrm>
                          <a:prstGeom prst="rect">
                            <a:avLst/>
                          </a:prstGeom>
                          <a:noFill/>
                          <a:ln w="9525">
                            <a:noFill/>
                          </a:ln>
                        </pic:spPr>
                      </pic:pic>
                    </a:graphicData>
                  </a:graphic>
                </wp:inline>
              </w:drawing>
            </w:r>
          </w:p>
          <w:p w14:paraId="3C3A4174">
            <w:pPr>
              <w:pStyle w:val="18"/>
              <w:numPr>
                <w:ilvl w:val="0"/>
                <w:numId w:val="0"/>
              </w:numPr>
              <w:snapToGrid w:val="0"/>
              <w:spacing w:before="0" w:after="40" w:line="240" w:lineRule="auto"/>
              <w:ind w:left="0" w:right="0" w:firstLine="0"/>
              <w:jc w:val="center"/>
            </w:pPr>
            <w:r>
              <w:t xml:space="preserve">Fig. 4(a). A </w:t>
            </w:r>
            <w:r>
              <w:rPr>
                <w:rFonts w:hint="eastAsia"/>
              </w:rPr>
              <w:t>型麦克纳姆轮结构。</w:t>
            </w:r>
          </w:p>
        </w:tc>
        <w:tc>
          <w:tcPr>
            <w:tcW w:w="2380" w:type="dxa"/>
            <w:vAlign w:val="top"/>
          </w:tcPr>
          <w:p w14:paraId="37442ACE">
            <w:pPr>
              <w:keepNext/>
              <w:numPr>
                <w:ilvl w:val="0"/>
                <w:numId w:val="0"/>
              </w:numPr>
              <w:snapToGrid w:val="0"/>
              <w:spacing w:before="0" w:after="40" w:line="240" w:lineRule="auto"/>
              <w:ind w:left="0" w:right="0" w:firstLine="0"/>
              <w:jc w:val="center"/>
            </w:pPr>
            <w:r>
              <w:drawing>
                <wp:inline distT="0" distB="0" distL="0" distR="0">
                  <wp:extent cx="1439545" cy="461010"/>
                  <wp:effectExtent l="0" t="0" r="0" b="0"/>
                  <wp:docPr id="23" name="Picture" descr="Fig. 4(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4(b). B 型麦克纳姆轮结构。"/>
                          <pic:cNvPicPr>
                            <a:picLocks noChangeAspect="1" noChangeArrowheads="1"/>
                          </pic:cNvPicPr>
                        </pic:nvPicPr>
                        <pic:blipFill>
                          <a:blip r:embed="rId9"/>
                          <a:stretch>
                            <a:fillRect/>
                          </a:stretch>
                        </pic:blipFill>
                        <pic:spPr>
                          <a:xfrm>
                            <a:off x="0" y="0"/>
                            <a:ext cx="1440000" cy="461356"/>
                          </a:xfrm>
                          <a:prstGeom prst="rect">
                            <a:avLst/>
                          </a:prstGeom>
                          <a:noFill/>
                          <a:ln w="9525">
                            <a:noFill/>
                          </a:ln>
                        </pic:spPr>
                      </pic:pic>
                    </a:graphicData>
                  </a:graphic>
                </wp:inline>
              </w:drawing>
            </w:r>
          </w:p>
          <w:p w14:paraId="3CC11875">
            <w:pPr>
              <w:pStyle w:val="18"/>
              <w:numPr>
                <w:ilvl w:val="0"/>
                <w:numId w:val="0"/>
              </w:numPr>
              <w:snapToGrid w:val="0"/>
              <w:spacing w:before="0" w:after="40" w:line="240" w:lineRule="auto"/>
              <w:ind w:left="0" w:right="0" w:firstLine="0"/>
              <w:jc w:val="center"/>
            </w:pPr>
            <w:r>
              <w:t xml:space="preserve">Fig. 4(b). B </w:t>
            </w:r>
            <w:r>
              <w:rPr>
                <w:rFonts w:hint="eastAsia"/>
              </w:rPr>
              <w:t>型麦克纳姆轮结构。</w:t>
            </w:r>
          </w:p>
        </w:tc>
      </w:tr>
    </w:tbl>
    <w:p w14:paraId="21D146DD">
      <w:pPr>
        <w:pStyle w:val="7"/>
        <w:numPr>
          <w:ilvl w:val="0"/>
          <w:numId w:val="0"/>
        </w:numPr>
        <w:snapToGrid w:val="0"/>
        <w:rPr>
          <w:sz w:val="20"/>
        </w:rPr>
      </w:pPr>
      <w:r>
        <w:rPr>
          <w:rFonts w:ascii="Times New Roman" w:hAnsi="Times New Roman" w:eastAsia="宋体"/>
          <w:sz w:val="20"/>
          <w:szCs w:val="20"/>
        </w:rPr>
        <w:t xml:space="preserve">用 </w:t>
      </w:r>
      <m:oMath>
        <m:sSub>
          <m:e>
            <m:r>
              <m:rPr>
                <m:sty m:val="bi"/>
              </m:rPr>
              <w:rPr>
                <w:rFonts w:ascii="Cambria Math" w:hAnsi="Cambria Math" w:eastAsia="Cambria Math" w:cs="Cambria Math"/>
                <w:sz w:val="20"/>
                <w:szCs w:val="20"/>
              </w:rPr>
              <m:t>v</m:t>
            </m:r>
          </m:e>
          <m:sub>
            <m:r>
              <m:rPr>
                <m:sty m:val="i"/>
              </m:rPr>
              <w:rPr>
                <w:rFonts w:ascii="Cambria Math" w:hAnsi="Cambria Math" w:eastAsia="Cambria Math" w:cs="Cambria Math"/>
                <w:sz w:val="20"/>
                <w:szCs w:val="20"/>
              </w:rPr>
              <m:t>i</m:t>
            </m:r>
          </m:sub>
        </m:sSub>
      </m:oMath>
      <w:r>
        <w:rPr>
          <w:rFonts w:ascii="Times New Roman" w:hAnsi="Times New Roman" w:eastAsia="宋体"/>
          <w:sz w:val="20"/>
          <w:szCs w:val="20"/>
        </w:rPr>
        <w:t xml:space="preserve"> 表示第 i 个轮心相对惯性系的速度，其分量在机体系中表示。</w:t>
      </w: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为基座原点速度，机身角速度为 </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ascii="Times New Roman" w:hAnsi="Times New Roman" w:eastAsia="宋体"/>
          <w:sz w:val="20"/>
          <w:szCs w:val="20"/>
        </w:rPr>
        <w:t xml:space="preserve">轮毂自转角速度标量记为 </w:t>
      </w:r>
      <m:oMath>
        <m:sSub>
          <m:e>
            <m:r>
              <m:rPr>
                <m:sty m:val="i"/>
              </m:rPr>
              <w:rPr>
                <w:rFonts w:ascii="Cambria Math" w:hAnsi="Cambria Math" w:eastAsia="Cambria Math" w:cs="Cambria Math"/>
                <w:sz w:val="20"/>
                <w:szCs w:val="20"/>
              </w:rPr>
              <m:t>ω</m:t>
            </m:r>
          </m:e>
          <m:sub>
            <m:r>
              <m:rPr>
                <m:sty m:val="i"/>
              </m:rPr>
              <w:rPr>
                <w:rFonts w:ascii="Cambria Math" w:hAnsi="Cambria Math" w:eastAsia="Cambria Math" w:cs="Cambria Math"/>
                <w:sz w:val="20"/>
                <w:szCs w:val="20"/>
              </w:rPr>
              <m:t>i</m:t>
            </m:r>
          </m:sub>
        </m:sSub>
      </m:oMath>
      <w:r>
        <w:rPr>
          <w:rFonts w:ascii="Times New Roman" w:hAnsi="Times New Roman" w:eastAsia="宋体"/>
          <w:sz w:val="20"/>
          <w:szCs w:val="20"/>
        </w:rPr>
        <w:t xml:space="preserve">。</w:t>
      </w: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式 (8)保留了普通车轮的滚动项与辊子带来的侧向项。轮毂相对小腿的编码器速度与绝对自转速度还相差小腿绕轮轴的转速；腿部运动时应进行相应补偿。</w:t>
      </w:r>
    </w:p>
    <w:bookmarkEnd w:id="6"/>
    <w:p w14:paraId="5844043D">
      <w:pPr>
        <w:pStyle w:val="4"/>
        <w:numPr>
          <w:ilvl w:val="2"/>
          <w:numId w:val="0"/>
        </w:numPr>
        <w:snapToGrid w:val="0"/>
      </w:pPr>
      <w:bookmarkStart w:id="7" w:name="轮体动力学与足端力映射"/>
      <w:r>
        <w:t xml:space="preserve">4) 轮体动力学与足端力映射</w:t>
      </w:r>
      <w:r>
        <w:rPr>
          <w:rFonts w:hint="eastAsia"/>
        </w:rPr>
        <w:t xml:space="preserve"/>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直接对所有连杆求解完整动力学会增加参数标定与实时计算负担。本文采用分层建模方法，先对具有独立质量的轮体建模，再通过虚功原理将轮端载荷映射到腿部驱动。Fig.</w:t>
      </w:r>
      <w:r>
        <w:rPr>
          <w:sz w:val="20"/>
          <w:szCs w:val="20"/>
        </w:rPr>
        <w:t xml:space="preserve"> 5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5"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5" descr="车轮受力示意图：接触力、轴端作用力、重力、驱动力矩与力臂"/>
                    <pic:cNvPicPr>
                      <a:picLocks noChangeAspect="1"/>
                    </pic:cNvPicPr>
                  </pic:nvPicPr>
                  <pic:blipFill>
                    <a:blip r:embed="rId10"/>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5.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该表达式取轮轴方向投影；其余方向的约束力矩由轴承和机构承担。低速实现中忽略陀螺项，快速转动时则需考虑惯性耦合。</w:t>
      </w:r>
      <w:r>
        <w:rPr>
          <w:rFonts w:ascii="Times New Roman" w:hAnsi="Times New Roman" w:eastAsia="宋体"/>
          <w:sz w:val="20"/>
          <w:szCs w:val="20"/>
        </w:rPr>
        <w:t xml:space="preserve">其中，</w:t>
      </w:r>
      <m:oMath>
        <m:sSub>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rFonts w:ascii="Times New Roman" w:hAnsi="Times New Roman" w:eastAsia="宋体"/>
          <w:sz w:val="20"/>
          <w:szCs w:val="20"/>
        </w:rPr>
        <w:t xml:space="preserve"> 为轮体关于质心的惯性张量，</w:t>
      </w:r>
      <m:oMath>
        <m:sSub>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w</m:t>
            </m:r>
          </m:sub>
        </m:sSub>
      </m:oMath>
      <w:r>
        <w:rPr>
          <w:rFonts w:ascii="Times New Roman" w:hAnsi="Times New Roman" w:eastAsia="宋体"/>
          <w:sz w:val="20"/>
          <w:szCs w:val="20"/>
        </w:rPr>
        <w:t xml:space="preserve"> 为轮体相对惯性系的角速度，</w:t>
      </w:r>
      <m:oMath>
        <m:sSub>
          <m:e>
            <m:acc>
              <m:accPr>
                <m:chr m:val="̇"/>
              </m:accPr>
              <m:e>
                <m:r>
                  <m:rPr>
                    <m:sty m:val="bi"/>
                  </m:rPr>
                  <w:rPr>
                    <w:rFonts w:ascii="Cambria Math" w:hAnsi="Cambria Math" w:eastAsia="Cambria Math" w:cs="Cambria Math"/>
                    <w:sz w:val="20"/>
                    <w:szCs w:val="20"/>
                  </w:rPr>
                  <m:t>ω</m:t>
                </m:r>
              </m:e>
            </m:acc>
          </m:e>
          <m:sub>
            <m:r>
              <m:rPr>
                <m:sty m:val="p"/>
              </m:rPr>
              <w:rPr>
                <w:rFonts w:ascii="Cambria Math" w:hAnsi="Cambria Math" w:eastAsia="Cambria Math" w:cs="Cambria Math"/>
                <w:sz w:val="20"/>
                <w:szCs w:val="20"/>
              </w:rPr>
              <m:t>w</m:t>
            </m:r>
          </m:sub>
        </m:sSub>
      </m:oMath>
      <w:r>
        <w:rPr>
          <w:rFonts w:ascii="Times New Roman" w:hAnsi="Times New Roman" w:eastAsia="宋体"/>
          <w:sz w:val="20"/>
          <w:szCs w:val="20"/>
        </w:rPr>
        <w:t xml:space="preserve"> 为角加速度；上述量均以同一坐标系的分量参与运算。</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m:oMath>
        <m:r>
          <m:rPr>
            <m:sty m:val="i"/>
          </m:rPr>
          <w:rPr>
            <w:rFonts w:ascii="Cambria Math" w:hAnsi="Cambria Math" w:eastAsia="Cambria Math" w:cs="Cambria Math"/>
            <w:sz w:val="20"/>
            <w:szCs w:val="20"/>
          </w:rPr>
          <m:t>δ</m:t>
        </m:r>
        <m:sSub>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ascii="Times New Roman" w:hAnsi="Times New Roman" w:eastAsia="宋体"/>
          <w:sz w:val="20"/>
          <w:szCs w:val="20"/>
        </w:rPr>
        <w:t xml:space="preserve"> 表示虚关节位移。</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p>
    <w:bookmarkEnd w:id="7"/>
    <w:p w14:paraId="5DC355BB">
      <w:pPr>
        <w:pStyle w:val="4"/>
        <w:numPr>
          <w:ilvl w:val="2"/>
          <w:numId w:val="0"/>
        </w:numPr>
        <w:snapToGrid w:val="0"/>
      </w:pPr>
      <w:bookmarkStart w:id="8" w:name="整机单刚体动力学"/>
      <w:r>
        <w:t xml:space="preserve">5) 整机单刚体动力学</w:t>
      </w:r>
      <w:r>
        <w:rPr>
          <w:rFonts w:hint="eastAsia"/>
        </w:rPr>
        <w:t xml:space="preserve"/>
      </w:r>
    </w:p>
    <w:p w14:paraId="7686BD07">
      <w:pPr>
        <w:pStyle w:val="7"/>
        <w:numPr>
          <w:ilvl w:val="0"/>
          <w:numId w:val="0"/>
        </w:numPr>
        <w:snapToGrid w:val="0"/>
        <w:rPr>
          <w:sz w:val="20"/>
        </w:rPr>
      </w:pPr>
      <w:r>
        <w:rPr>
          <w:rFonts w:hint="eastAsia"/>
          <w:sz w:val="20"/>
          <w:szCs w:val="20"/>
        </w:rPr>
        <w:t>将</w:t>
      </w:r>
      <w:r>
        <w:rPr>
          <w:rFonts w:hint="eastAsia"/>
          <w:sz w:val="20"/>
          <w:szCs w:val="20"/>
          <w:lang w:eastAsia="zh-CN"/>
        </w:rPr>
        <w:t>底盘与机械臂</w:t>
      </w:r>
      <w:r>
        <w:rPr>
          <w:rFonts w:hint="eastAsia"/>
          <w:sz w:val="20"/>
          <w:szCs w:val="20"/>
        </w:rPr>
        <w:t>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6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6"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6" descr="基于底盘立体构型的整机质心与四轮接触力示意图"/>
                    <pic:cNvPicPr>
                      <a:picLocks noChangeAspect="1"/>
                    </pic:cNvPicPr>
                  </pic:nvPicPr>
                  <pic:blipFill>
                    <a:blip r:embed="rId11"/>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6.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ascii="Times New Roman" w:hAnsi="Times New Roman" w:eastAsia="宋体"/>
          <w:sz w:val="20"/>
          <w:szCs w:val="20"/>
        </w:rPr>
        <w:t xml:space="preserve">将整机动力学方程统一写在惯性系下。</w:t>
      </w:r>
      <m:oMath>
        <m:r>
          <m:rPr>
            <m:sty m:val="bi"/>
          </m:rPr>
          <w:rPr>
            <w:rFonts w:ascii="Cambria Math" w:hAnsi="Cambria Math" w:eastAsia="Cambria Math" w:cs="Cambria Math"/>
            <w:sz w:val="20"/>
            <w:szCs w:val="20"/>
          </w:rPr>
          <m:t>ω</m:t>
        </m:r>
      </m:oMath>
      <w:r>
        <w:rPr>
          <w:rFonts w:ascii="Times New Roman" w:hAnsi="Times New Roman" w:eastAsia="宋体"/>
          <w:sz w:val="20"/>
          <w:szCs w:val="20"/>
        </w:rPr>
        <w:t xml:space="preserve"> 为机身角速度，</w:t>
      </w:r>
      <m:oMath>
        <m:acc>
          <m:accPr>
            <m:chr m:val="̇"/>
          </m:accPr>
          <m:e>
            <m:r>
              <m:rPr>
                <m:sty m:val="bi"/>
              </m:rPr>
              <w:rPr>
                <w:rFonts w:ascii="Cambria Math" w:hAnsi="Cambria Math" w:eastAsia="Cambria Math" w:cs="Cambria Math"/>
                <w:sz w:val="20"/>
                <w:szCs w:val="20"/>
              </w:rPr>
              <m:t>ω</m:t>
            </m:r>
          </m:e>
        </m:acc>
      </m:oMath>
      <w:r>
        <w:rPr>
          <w:rFonts w:ascii="Times New Roman" w:hAnsi="Times New Roman" w:eastAsia="宋体"/>
          <w:sz w:val="20"/>
          <w:szCs w:val="20"/>
        </w:rPr>
        <w:t xml:space="preserve"> 为角加速度，</w:t>
      </w:r>
      <m:oMath>
        <m:sSub>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ascii="Times New Roman" w:hAnsi="Times New Roman" w:eastAsia="宋体"/>
          <w:sz w:val="20"/>
          <w:szCs w:val="20"/>
        </w:rPr>
        <w:t xml:space="preserve"> 为以机体系分量表示的整机质心惯性张量。惯性张量变换为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ascii="Times New Roman" w:hAnsi="Times New Roman" w:eastAsia="宋体"/>
          <w:sz w:val="20"/>
          <w:szCs w:val="20"/>
        </w:rPr>
        <w:t xml:space="preserve">。令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ascii="Times New Roman" w:hAnsi="Times New Roman" w:eastAsia="宋体"/>
          <w:sz w:val="20"/>
          <w:szCs w:val="20"/>
        </w:rPr>
        <w:t xml:space="preserve">其中，</w:t>
      </w:r>
      <m:oMath>
        <m:r>
          <m:rPr>
            <m:sty m:val="b"/>
          </m:rPr>
          <w:rPr>
            <w:rFonts w:ascii="Cambria Math" w:hAnsi="Cambria Math" w:eastAsia="Cambria Math" w:cs="Cambria Math"/>
            <w:sz w:val="20"/>
            <w:szCs w:val="20"/>
          </w:rPr>
          <m:t>H</m:t>
        </m:r>
      </m:oMath>
      <w:r>
        <w:rPr>
          <w:rFonts w:ascii="Times New Roman" w:hAnsi="Times New Roman" w:eastAsia="宋体"/>
          <w:sz w:val="20"/>
          <w:szCs w:val="20"/>
        </w:rPr>
        <w:t xml:space="preserve"> 将各接触力映射为整机合力与合力矩，</w:t>
      </w:r>
      <m:oMath>
        <m:sSub>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rFonts w:ascii="Times New Roman" w:hAnsi="Times New Roman" w:eastAsia="宋体"/>
          <w:sz w:val="20"/>
          <w:szCs w:val="20"/>
        </w:rPr>
        <w:t xml:space="preserve"> 为四轮接触力的堆叠向量，</w:t>
      </w:r>
      <m:oMath>
        <m:sSub>
          <m:e>
            <m:r>
              <m:rPr>
                <m:sty m:val="bi"/>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dyn</m:t>
            </m:r>
          </m:sub>
        </m:sSub>
      </m:oMath>
      <w:r>
        <w:rPr>
          <w:rFonts w:ascii="Times New Roman" w:hAnsi="Times New Roman" w:eastAsia="宋体"/>
          <w:sz w:val="20"/>
          <w:szCs w:val="20"/>
        </w:rPr>
        <w:t xml:space="preserve"> 为所需接触合力与合力矩组成的向量。</w:t>
      </w: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w:t>
      </w:r>
      <w:r>
        <w:rPr>
          <w:rFonts w:hint="eastAsia"/>
          <w:sz w:val="20"/>
          <w:szCs w:val="20"/>
          <w:lang w:eastAsia="zh-CN"/>
        </w:rPr>
        <w:t>在</w:t>
      </w:r>
      <w:r>
        <w:rPr>
          <w:rFonts w:hint="eastAsia"/>
          <w:sz w:val="20"/>
          <w:szCs w:val="20"/>
        </w:rPr>
        <w:t>姿态变化</w:t>
      </w:r>
      <w:r>
        <w:rPr>
          <w:rFonts w:hint="eastAsia"/>
          <w:sz w:val="20"/>
          <w:szCs w:val="20"/>
          <w:lang w:eastAsia="zh-CN"/>
        </w:rPr>
        <w:t>不</w:t>
      </w:r>
      <w:r>
        <w:rPr>
          <w:rFonts w:hint="eastAsia"/>
          <w:sz w:val="20"/>
          <w:szCs w:val="20"/>
        </w:rPr>
        <w:t>明显</w:t>
      </w:r>
      <w:r>
        <w:rPr>
          <w:rFonts w:hint="eastAsia"/>
          <w:sz w:val="20"/>
          <w:szCs w:val="20"/>
          <w:lang w:eastAsia="zh-CN"/>
        </w:rPr>
        <w:t>且</w:t>
      </w:r>
      <w:r>
        <w:rPr>
          <w:rFonts w:hint="eastAsia"/>
          <w:sz w:val="20"/>
          <w:szCs w:val="20"/>
        </w:rPr>
        <w:t>机械臂</w:t>
      </w:r>
      <w:r>
        <w:rPr>
          <w:rFonts w:hint="eastAsia"/>
          <w:sz w:val="20"/>
          <w:szCs w:val="20"/>
          <w:lang w:eastAsia="zh-CN"/>
        </w:rPr>
        <w:t>相对底盘基本静止</w:t>
      </w:r>
      <w:r>
        <w:rPr>
          <w:rFonts w:hint="eastAsia"/>
          <w:sz w:val="20"/>
          <w:szCs w:val="20"/>
        </w:rPr>
        <w:t>时，</w:t>
      </w:r>
      <w:r>
        <w:rPr>
          <w:rFonts w:hint="eastAsia"/>
          <w:sz w:val="20"/>
          <w:szCs w:val="20"/>
          <w:lang w:eastAsia="zh-CN"/>
        </w:rPr>
        <w:t>此</w:t>
      </w:r>
      <w:r>
        <w:rPr>
          <w:rFonts w:hint="eastAsia"/>
          <w:sz w:val="20"/>
          <w:szCs w:val="20"/>
        </w:rPr>
        <w:t>近似</w:t>
      </w:r>
      <w:r>
        <w:rPr>
          <w:rFonts w:hint="eastAsia"/>
          <w:sz w:val="20"/>
          <w:szCs w:val="20"/>
          <w:lang w:eastAsia="zh-CN"/>
        </w:rPr>
        <w:t>精度较高</w:t>
      </w:r>
      <w:r>
        <w:rPr>
          <w:rFonts w:hint="eastAsia"/>
          <w:sz w:val="20"/>
          <w:szCs w:val="20"/>
        </w:rPr>
        <w:t>。</w:t>
      </w:r>
      <w:r>
        <w:rPr>
          <w:rFonts w:hint="eastAsia"/>
          <w:sz w:val="20"/>
          <w:szCs w:val="20"/>
          <w:lang w:eastAsia="zh-CN"/>
        </w:rPr>
        <w:t>足端力的</w:t>
      </w:r>
      <w:r>
        <w:rPr>
          <w:rFonts w:hint="eastAsia"/>
          <w:sz w:val="20"/>
          <w:szCs w:val="20"/>
        </w:rPr>
        <w:t>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bookmarkEnd w:id="8"/>
    <w:p w14:paraId="1F9BE2B0">
      <w:pPr>
        <w:pStyle w:val="4"/>
        <w:numPr>
          <w:ilvl w:val="2"/>
          <w:numId w:val="0"/>
        </w:numPr>
        <w:snapToGrid w:val="0"/>
      </w:pPr>
      <w:bookmarkStart w:id="9" w:name="姿态控制器"/>
      <w:r>
        <w:t xml:space="preserve">6) 姿态控制器</w:t>
      </w:r>
      <w:r>
        <w:rPr>
          <w:rFonts w:hint="eastAsia"/>
        </w:rPr>
        <w:t xml:space="preserve"/>
      </w:r>
    </w:p>
    <w:p w14:paraId="3D05A0BA">
      <w:pPr>
        <w:pStyle w:val="7"/>
        <w:numPr>
          <w:ilvl w:val="0"/>
          <w:numId w:val="0"/>
        </w:numPr>
        <w:snapToGrid w:val="0"/>
        <w:rPr>
          <w:sz w:val="20"/>
        </w:rPr>
      </w:pPr>
      <w:r>
        <w:rPr>
          <w:rFonts w:hint="eastAsia"/>
          <w:sz w:val="20"/>
          <w:szCs w:val="20"/>
        </w:rPr>
        <w:t>固定腿部关节姿态难以适应地面高度变化。本文根据姿态误差增量调整腿长，以惯性测量单元（IMU）提供的滚转角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及角速度作为反馈。本文采用角度—角速度双环 P 控制，并累加腿高修正。闭环控制结构如 Fig. 7 所示。对任一姿态轴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为姿态角误差，单位均为弧度。</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为角度环给出的期望角速度，单位为弧度每秒。</w:t>
      </w:r>
    </w:p>
    <w:p w14:paraId="6F107001">
      <w:pPr>
        <w:pStyle w:val="7"/>
        <w:numPr>
          <w:ilvl w:val="0"/>
          <w:numId w:val="0"/>
        </w:numPr>
        <w:snapToGrid w:val="0"/>
        <w:rPr>
          <w:sz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为角速度环比例增益的离散形式，将角速度误差转换为本周期的高度修正增量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，已包含采样周期的影响。</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为累加后的支撑高度修正量，</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−1]</m:t>
        </m:r>
      </m:oMath>
      <w:r>
        <w:rPr>
          <w:rFonts w:hint="eastAsia"/>
          <w:sz w:val="20"/>
          <w:szCs w:val="20"/>
        </w:rPr>
        <w:t xml:space="preserve"> 为上一周期的值；高度修正量及其增量的单位均为米。</w:t>
      </w:r>
    </w:p>
    <w:p w14:paraId="194B4AE2">
      <w:pPr>
        <w:pStyle w:val="7"/>
        <w:numPr>
          <w:ilvl w:val="0"/>
          <w:numId w:val="0"/>
        </w:numPr>
        <w:snapToGrid w:val="0"/>
        <w:rPr>
          <w:sz w:val="20"/>
        </w:rPr>
      </w:pPr>
      <w:r>
        <w:rPr>
          <w:rFonts w:hint="eastAsia"/>
          <w:sz w:val="20"/>
          <w:szCs w:val="20"/>
        </w:rPr>
        <w:t>支撑高度按四轮在机体系中的分布进行分配。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分别为前后、左右轮心间距的一半，均为正值，上述长度的单位均为米。在四腿近似对称、小姿态角和触点高度暂时固定的条件下，可将修正分配为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rFonts w:hint="eastAsia" w:eastAsia="SimSun"/>
          <w:sz w:val="20"/>
          <w:lang w:eastAsia="zh-CN"/>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w:t>
      </w:r>
      <w:r>
        <w:rPr>
          <w:rFonts w:hint="eastAsia"/>
          <w:sz w:val="20"/>
          <w:szCs w:val="20"/>
        </w:rPr>
        <w:t>支撑高度，</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条腿的期望支撑高度，均以向下为正、单位为米；</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分别为滚转、俯仰控制器输出的高度修正量。转换为关节角度时，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 xml:space="preserve"> 的设定值，并令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35"/>
            <wp:docPr id="27" name="Fig. 7"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7" descr="底盘姿态控制器闭环方框图"/>
                    <pic:cNvPicPr>
                      <a:picLocks noChangeAspect="1"/>
                    </pic:cNvPicPr>
                  </pic:nvPicPr>
                  <pic:blipFill>
                    <a:blip r:embed="rId12"/>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7. 底盘姿态控制器闭环方框图。滚转与俯仰分别采用(18)的双环 P 控制及高度增量累加，两轴修正量经(19)共同分配至四腿；关节伺服内环合并表示。</w:t>
      </w:r>
    </w:p>
    <w:bookmarkEnd w:id="4"/>
    <w:bookmarkEnd w:id="9"/>
    <w:p w14:paraId="3E18FD99">
      <w:pPr>
        <w:pStyle w:val="3"/>
        <w:numPr>
          <w:ilvl w:val="1"/>
          <w:numId w:val="0"/>
        </w:numPr>
        <w:snapToGrid w:val="0"/>
      </w:pPr>
      <w:bookmarkStart w:id="10"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六轴机械臂采用肘式臂与球腕结构，末三轴交于腕心，可将逆解分为前三轴定位和后三轴定姿。关节坐标系与连杆尺寸如 Fig. 8 所示。给定基坐标系 {0} 下的末端目标位置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，按照本文的工具坐标约定，腕心位置由末端沿工具负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 得到，记为 </w:t>
      </w:r>
      <m:oMath>
        <m:sSub>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W</m:t>
            </m:r>
          </m:sub>
        </m:sSub>
      </m:oMath>
      <w:r>
        <w:rPr>
          <w:rFonts w:ascii="Times New Roman" w:hAnsi="Times New Roman" w:eastAsia="宋体"/>
          <w:sz w:val="20"/>
          <w:szCs w:val="20"/>
        </w:rPr>
        <w:t xml:space="preserve">：</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(20)</w:t>
            </w:r>
          </w:p>
        </w:tc>
      </w:tr>
    </w:tbl>
    <w:p w14:paraId="540695CD">
      <w:pPr>
        <w:keepNext/>
        <w:keepLines/>
        <w:numPr>
          <w:ilvl w:val="0"/>
          <w:numId w:val="0"/>
        </w:numPr>
        <w:snapToGrid w:val="0"/>
        <w:spacing w:before="60" w:after="60" w:line="240" w:lineRule="auto"/>
        <w:ind w:left="0" w:right="0" w:firstLine="0"/>
        <w:jc w:val="center"/>
      </w:pPr>
      <w:r>
        <w:drawing>
          <wp:inline distT="0" distB="0" distL="0" distR="0">
            <wp:extent cx="3059430" cy="1019810"/>
            <wp:effectExtent l="0" t="0" r="7620" b="8890"/>
            <wp:docPr id="28" name="Fig. 8"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 8" descr="机械臂侧视图上的关节坐标系定义"/>
                    <pic:cNvPicPr>
                      <a:picLocks noChangeAspect="1"/>
                    </pic:cNvPicPr>
                  </pic:nvPicPr>
                  <pic:blipFill>
                    <a:blip r:embed="rId13"/>
                    <a:stretch>
                      <a:fillRect/>
                    </a:stretch>
                  </pic:blipFill>
                  <pic:spPr>
                    <a:xfrm>
                      <a:off x="0" y="0"/>
                      <a:ext cx="3060000" cy="1020000"/>
                    </a:xfrm>
                    <a:prstGeom prst="rect">
                      <a:avLst/>
                    </a:prstGeom>
                  </pic:spPr>
                </pic:pic>
              </a:graphicData>
            </a:graphic>
          </wp:inline>
        </w:drawing>
      </w:r>
    </w:p>
    <w:p w14:paraId="6F108002">
      <w:pPr>
        <w:keepNext/>
        <w:keepLines/>
        <w:numPr>
          <w:ilvl w:val="0"/>
          <w:numId w:val="0"/>
        </w:numPr>
        <w:snapToGrid w:val="0"/>
        <w:spacing w:before="0" w:after="60"/>
        <w:ind w:left="0" w:right="0" w:firstLine="0"/>
        <w:jc w:val="center"/>
      </w:pPr>
      <w:r>
        <w:rPr>
          <w:rFonts w:ascii="Times New Roman" w:hAnsi="Times New Roman"/>
          <w:sz w:val="18"/>
          <w:szCs w:val="18"/>
        </w:rPr>
        <w:t xml:space="preserve">(a) Physical view</w:t>
      </w:r>
    </w:p>
    <w:p w14:paraId="6F108003">
      <w:pPr>
        <w:keepNext/>
        <w:keepLines/>
        <w:numPr>
          <w:ilvl w:val="0"/>
          <w:numId w:val="0"/>
        </w:numPr>
        <w:snapToGrid w:val="0"/>
        <w:spacing w:before="60" w:after="60" w:line="240" w:lineRule="auto"/>
        <w:ind w:left="0" w:right="0" w:firstLine="0"/>
        <w:jc w:val="center"/>
      </w:pPr>
      <w:r>
        <w:drawing>
          <wp:inline distT="0" distB="0" distL="0" distR="0">
            <wp:extent cx="3059430" cy="1520256"/>
            <wp:effectExtent l="0" t="0" r="7620" b="8890"/>
            <wp:docPr id="34" name="Fig. 8(b)" descr="Arm joint coordinate frames and link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Fig. 8(b)" descr="Arm joint coordinate frames and link dimensions"/>
                    <pic:cNvPicPr>
                      <a:picLocks noChangeAspect="1"/>
                    </pic:cNvPicPr>
                  </pic:nvPicPr>
                  <pic:blipFill>
                    <a:blip r:embed="rId18"/>
                    <a:stretch>
                      <a:fillRect/>
                    </a:stretch>
                  </pic:blipFill>
                  <pic:spPr>
                    <a:xfrm>
                      <a:off x="0" y="0"/>
                      <a:ext cx="3059430" cy="1520256"/>
                    </a:xfrm>
                    <a:prstGeom prst="rect">
                      <a:avLst/>
                    </a:prstGeom>
                  </pic:spPr>
                </pic:pic>
              </a:graphicData>
            </a:graphic>
          </wp:inline>
        </w:drawing>
      </w:r>
    </w:p>
    <w:p w14:paraId="6F108004">
      <w:pPr>
        <w:keepNext/>
        <w:keepLines/>
        <w:numPr>
          <w:ilvl w:val="0"/>
          <w:numId w:val="0"/>
        </w:numPr>
        <w:snapToGrid w:val="0"/>
        <w:spacing w:before="0" w:after="60"/>
        <w:ind w:left="0" w:right="0" w:firstLine="0"/>
        <w:jc w:val="center"/>
      </w:pPr>
      <w:r>
        <w:rPr>
          <w:rFonts w:ascii="Times New Roman" w:hAnsi="Times New Roman"/>
          <w:sz w:val="18"/>
          <w:szCs w:val="18"/>
        </w:rPr>
        <w:t xml:space="preserve">(b) Joint coordinate frames</w:t>
      </w:r>
    </w:p>
    <w:p w14:paraId="1428A8F6">
      <w:pPr>
        <w:pStyle w:val="18"/>
        <w:numPr>
          <w:ilvl w:val="0"/>
          <w:numId w:val="0"/>
        </w:numPr>
        <w:snapToGrid w:val="0"/>
      </w:pPr>
      <w:r>
        <w:rPr>
          <w:iCs/>
        </w:rPr>
        <w:t xml:space="preserve">Fig. 8. 六轴机械臂关节坐标系。（a）侧视图上的坐标系对应位置。（b）关节坐标系与连杆尺寸定义。坐标系 2、3 的原点重合，坐标系 4、5 的原点重合。</w:t>
      </w:r>
      <w:r>
        <w:rPr>
          <w:rFonts w:hint="eastAsia"/>
          <w:iCs/>
        </w:rPr>
        <w:t xml:space="preserve"/>
      </w:r>
      <w:r>
        <w:rPr>
          <w:rFonts w:hint="eastAsia"/>
          <w:iCs/>
          <w:lang w:eastAsia="zh-CN"/>
        </w:rPr>
        <w:t xml:space="preserve"/>
      </w:r>
      <w:r>
        <w:rPr>
          <w:rFonts w:hint="eastAsia"/>
          <w:iCs/>
        </w:rPr>
        <w:t xml:space="preserve"/>
      </w:r>
    </w:p>
    <w:p w14:paraId="6F10C801">
      <w:pPr>
        <w:pStyle w:val="7"/>
        <w:numPr>
          <w:ilvl w:val="0"/>
          <w:numId w:val="0"/>
        </w:numPr>
        <w:snapToGrid w:val="0"/>
        <w:rPr>
          <w:sz w:val="20"/>
        </w:rPr>
      </w:pPr>
      <w:r>
        <w:rPr>
          <w:rFonts w:ascii="Times New Roman" w:hAnsi="Times New Roman" w:eastAsia="宋体"/>
          <w:sz w:val="20"/>
          <w:szCs w:val="20"/>
        </w:rPr>
        <w:t xml:space="preserve">关节角记为 </w:t>
      </w:r>
      <m:oMath>
        <m:sSub>
          <m:e>
            <m:r>
              <m:rPr>
                <m:sty m:val="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m:sty m:val="i"/>
              </m:rPr>
              <w:rPr>
                <w:rFonts w:ascii="Cambria Math" w:hAnsi="Cambria Math" w:eastAsia="Cambria Math" w:cs="Cambria Math"/>
                <w:sz w:val="20"/>
                <w:szCs w:val="20"/>
              </w:rPr>
              <m:t>j</m:t>
            </m:r>
          </m:sub>
        </m:sSub>
      </m:oMath>
      <w:r>
        <w:rPr>
          <w:rFonts w:ascii="Times New Roman" w:hAnsi="Times New Roman" w:eastAsia="宋体"/>
          <w:sz w:val="20"/>
          <w:szCs w:val="20"/>
        </w:rPr>
        <w:t xml:space="preserve">（</w:t>
      </w:r>
      <m:oMath>
        <m:r>
          <m:rPr>
            <m:sty m:val="i"/>
          </m:rPr>
          <w:rPr>
            <w:rFonts w:ascii="Cambria Math" w:hAnsi="Cambria Math" w:eastAsia="Cambria Math" w:cs="Cambria Math"/>
            <w:sz w:val="20"/>
            <w:szCs w:val="20"/>
          </w:rPr>
          <m:t>j</m:t>
        </m:r>
        <m:r>
          <m:rPr>
            <m:sty m:val="p"/>
          </m:rPr>
          <w:rPr>
            <w:rFonts w:ascii="Cambria Math" w:hAnsi="Cambria Math" w:eastAsia="Cambria Math" w:cs="Cambria Math"/>
            <w:sz w:val="20"/>
            <w:szCs w:val="20"/>
          </w:rPr>
          <m:t>=1,…,6</m:t>
        </m:r>
      </m:oMath>
      <w:r>
        <w:rPr>
          <w:rFonts w:ascii="Times New Roman" w:hAnsi="Times New Roman" w:eastAsia="宋体"/>
          <w:sz w:val="20"/>
          <w:szCs w:val="20"/>
        </w:rPr>
        <w:t xml:space="preserve">），末端位置和姿态均相对于基坐标系 {0} 表示。</w:t>
      </w:r>
      <m:oMath>
        <m:sSub>
          <m:e>
            <m:r>
              <m:rPr>
                <m:sty m:val="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4</m:t>
            </m:r>
          </m:sub>
        </m:sSub>
      </m:oMath>
      <w:r>
        <w:rPr>
          <w:rFonts w:ascii="Times New Roman" w:hAnsi="Times New Roman" w:eastAsia="宋体"/>
          <w:sz w:val="20"/>
          <w:szCs w:val="20"/>
        </w:rPr>
        <w:t xml:space="preserve"> 为沿第三坐标系 z 轴从其原点至腕心的距离。</w:t>
      </w:r>
    </w:p>
    <w:p w14:paraId="2743674C">
      <w:pPr>
        <w:pStyle w:val="7"/>
        <w:numPr>
          <w:ilvl w:val="0"/>
          <w:numId w:val="0"/>
        </w:numPr>
        <w:snapToGrid w:val="0"/>
        <w:rPr>
          <w:sz w:val="20"/>
        </w:rPr>
      </w:pPr>
      <w:r>
        <w:rPr>
          <w:rFonts w:hint="eastAsia"/>
          <w:sz w:val="20"/>
          <w:szCs w:val="20"/>
          <w:lang w:eastAsia="zh-CN"/>
        </w:rPr>
        <w:t>将坐标系 4、5 的重合原点定义为腕心，</w:t>
      </w:r>
      <w:r>
        <w:rPr>
          <w:rFonts w:hint="eastAsia"/>
          <w:sz w:val="20"/>
          <w:szCs w:val="20"/>
          <w:lang w:val="en-US" w:eastAsia="zh-CN"/>
        </w:rPr>
        <w:t/>
      </w: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。按图示连杆参数与关节零位定义，</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e>
            <m:r>
              <m:rPr>
                <m:sty m:val="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4</m:t>
            </m:r>
          </m:sub>
        </m:sSub>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，由平面三角形余弦定理，正对高臂分支为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(21)</w:t>
            </w:r>
          </w:p>
        </w:tc>
      </w:tr>
    </w:tbl>
    <w:p w14:paraId="3EBA8D22">
      <w:pPr>
        <w:pStyle w:val="7"/>
        <w:numPr>
          <w:ilvl w:val="0"/>
          <w:numId w:val="0"/>
        </w:numPr>
        <w:snapToGrid w:val="0"/>
        <w:rPr>
          <w:sz w:val="20"/>
        </w:rPr>
      </w:pPr>
      <w:r>
        <w:rPr>
          <w:rFonts w:hint="eastAsia"/>
          <w:sz w:val="20"/>
          <w:szCs w:val="20"/>
        </w:rPr>
        <w:t>由前三轴关节角确定坐标系 {3} 到 {0} 的旋转矩阵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(22)</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ascii="Times New Roman" w:hAnsi="Times New Roman" w:eastAsia="宋体"/>
          <w:sz w:val="20"/>
          <w:szCs w:val="20"/>
        </w:rPr>
        <w:t xml:space="preserve">；</w:t>
      </w:r>
      <m:oMath>
        <m:sSub>
          <m:e>
            <m:r>
              <m:rPr>
                <m:sty m:val="i"/>
              </m:rPr>
              <w:rPr>
                <w:rFonts w:ascii="Cambria Math" w:hAnsi="Cambria Math" w:eastAsia="Cambria Math" w:cs="Cambria Math"/>
                <w:sz w:val="20"/>
                <w:szCs w:val="20"/>
              </w:rPr>
              <m:t>θ</m:t>
            </m:r>
          </m:e>
          <m:sub>
            <m:r>
              <m:rPr>
                <m:sty m:val="i"/>
              </m:rPr>
              <w:rPr>
                <w:rFonts w:ascii="Cambria Math" w:hAnsi="Cambria Math" w:eastAsia="Cambria Math" w:cs="Cambria Math"/>
                <w:sz w:val="20"/>
                <w:szCs w:val="20"/>
              </w:rPr>
              <m:t>j</m:t>
            </m:r>
          </m:sub>
        </m:sSub>
      </m:oMath>
      <w:r>
        <w:rPr>
          <w:rFonts w:ascii="Times New Roman" w:hAnsi="Times New Roman" w:eastAsia="宋体"/>
          <w:sz w:val="20"/>
          <w:szCs w:val="20"/>
        </w:rPr>
        <w:t xml:space="preserve"> 为标准 DH 关节角，其中</w:t>
      </w:r>
      <w:r>
        <w:rPr>
          <w:rFonts w:hint="eastAsia"/>
          <w:sz w:val="20"/>
          <w:szCs w:val="20"/>
        </w:rPr>
        <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为零位偏置。按本文的球腕坐标约定，在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(23)</w:t>
            </w:r>
          </w:p>
        </w:tc>
      </w:tr>
    </w:tbl>
    <w:p w14:paraId="6BDBEFC2">
      <w:pPr>
        <w:pStyle w:val="7"/>
        <w:numPr>
          <w:ilvl w:val="0"/>
          <w:numId w:val="0"/>
        </w:numPr>
        <w:snapToGrid w:val="0"/>
        <w:rPr>
          <w:rFonts w:hint="eastAsia" w:eastAsia="SimSun"/>
          <w:sz w:val="20"/>
          <w:lang w:eastAsia="zh-CN"/>
        </w:rPr>
      </w:pPr>
      <w:r>
        <w:rPr>
          <w:rFonts w:hint="eastAsia"/>
          <w:sz w:val="20"/>
          <w:szCs w:val="20"/>
        </w:rPr>
        <w:t>对候选解进行位姿回代及关节限位检查，选择与上一时刻关节角最接近的可行分支</w:t>
      </w:r>
      <w:r>
        <w:rPr>
          <w:rFonts w:hint="eastAsia"/>
          <w:sz w:val="20"/>
          <w:szCs w:val="20"/>
          <w:lang w:eastAsia="zh-CN"/>
        </w:rPr>
        <w:t>。</w:t>
      </w:r>
    </w:p>
    <w:bookmarkEnd w:id="10"/>
    <w:p w14:paraId="5216BD38">
      <w:pPr>
        <w:pStyle w:val="3"/>
        <w:numPr>
          <w:ilvl w:val="1"/>
          <w:numId w:val="0"/>
        </w:numPr>
        <w:snapToGrid w:val="0"/>
      </w:pPr>
      <w:bookmarkStart w:id="11" w:name="d.-delta-遥操作控制器"/>
      <w:r>
        <w:t xml:space="preserve">D. Delta </w:t>
      </w:r>
      <w:r>
        <w:rPr>
          <w:rFonts w:hint="eastAsia"/>
        </w:rPr>
        <w:t>遥操作控制器</w:t>
      </w:r>
    </w:p>
    <w:p w14:paraId="272A16D0">
      <w:pPr>
        <w:pStyle w:val="4"/>
        <w:numPr>
          <w:ilvl w:val="2"/>
          <w:numId w:val="0"/>
        </w:numPr>
        <w:snapToGrid w:val="0"/>
      </w:pPr>
      <w:bookmarkStart w:id="12"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w:t>
      </w:r>
      <w:r>
        <w:rPr>
          <w:rFonts w:hint="eastAsia"/>
          <w:sz w:val="20"/>
          <w:szCs w:val="20"/>
          <w:lang w:eastAsia="zh-CN"/>
        </w:rPr>
        <w:t>三维</w:t>
      </w:r>
      <w:r>
        <w:rPr>
          <w:rFonts w:hint="eastAsia"/>
          <w:sz w:val="20"/>
          <w:szCs w:val="20"/>
        </w:rPr>
        <w:t>姿态。平行四边形从动臂约束动平台相对静平台保持平行，从而将位置输入与姿态输入分开</w:t>
      </w:r>
      <w:r>
        <w:rPr>
          <w:sz w:val="20"/>
          <w:szCs w:val="20"/>
        </w:rPr>
        <w:t xml:space="preserve">。Fig. 9 </w:t>
      </w:r>
      <w:r>
        <w:rPr>
          <w:rFonts w:hint="eastAsia"/>
          <w:sz w:val="20"/>
          <w:szCs w:val="20"/>
        </w:rPr>
        <w:t>给出 Delta 机构、三轴手柄及转轴标注，几何参数列于</w:t>
      </w:r>
      <w:r>
        <w:rPr>
          <w:sz w:val="20"/>
          <w:szCs w:val="20"/>
        </w:rPr>
        <w:t xml:space="preserve"> TABLE II。</w:t>
      </w:r>
    </w:p>
    <w:p w14:paraId="34E67E34">
      <w:pPr>
        <w:keepNext/>
        <w:keepLines/>
        <w:numPr>
          <w:ilvl w:val="0"/>
          <w:numId w:val="0"/>
        </w:numPr>
        <w:snapToGrid w:val="0"/>
        <w:spacing w:before="60" w:after="60" w:line="240" w:lineRule="auto"/>
        <w:ind w:left="0" w:right="0" w:firstLine="0"/>
        <w:jc w:val="center"/>
      </w:pPr>
      <w:r>
        <w:drawing>
          <wp:inline distT="0" distB="0" distL="0" distR="0">
            <wp:extent cx="3059430" cy="2039620"/>
            <wp:effectExtent l="0" t="0" r="7620" b="8255"/>
            <wp:docPr id="29" name="Fig. 9"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 9" descr="Delta 平移机构与三轴姿态手柄的机构、转轴和平行约束示意"/>
                    <pic:cNvPicPr>
                      <a:picLocks noChangeAspect="1"/>
                    </pic:cNvPicPr>
                  </pic:nvPicPr>
                  <pic:blipFill>
                    <a:blip r:embed="rId14"/>
                    <a:stretch>
                      <a:fillRect/>
                    </a:stretch>
                  </pic:blipFill>
                  <pic:spPr>
                    <a:xfrm>
                      <a:off x="0" y="0"/>
                      <a:ext cx="3060000" cy="2040000"/>
                    </a:xfrm>
                    <a:prstGeom prst="rect">
                      <a:avLst/>
                    </a:prstGeom>
                  </pic:spPr>
                </pic:pic>
              </a:graphicData>
            </a:graphic>
          </wp:inline>
        </w:drawing>
      </w:r>
    </w:p>
    <w:p w14:paraId="6B1D5471">
      <w:pPr>
        <w:pStyle w:val="18"/>
        <w:numPr>
          <w:ilvl w:val="0"/>
          <w:numId w:val="0"/>
        </w:numPr>
        <w:snapToGrid w:val="0"/>
      </w:pPr>
      <w:r>
        <w:rPr>
          <w:iCs/>
        </w:rPr>
        <w:t xml:space="preserve">Fig. 9. </w:t>
      </w:r>
      <w:r>
        <w:rPr>
          <w:rFonts w:hint="eastAsia"/>
          <w:iCs/>
        </w:rPr>
        <w:t>遥操作主手结构与转轴示意。（a）Delta 平移机构，黄色闭合轮廓突出显示一组平行四边形从动臂；三支链共同约束动平台始终与静平台保持平行。（b）三轴姿态手柄，按安装端至握持端依次标出三个转动关节。红色点划线表示转轴中心线，蓝色标记表示平台平行关系。</w:t>
      </w:r>
    </w:p>
    <w:p w14:paraId="416DC73D">
      <w:pPr>
        <w:pStyle w:val="7"/>
        <w:numPr>
          <w:ilvl w:val="0"/>
          <w:numId w:val="0"/>
        </w:numPr>
        <w:snapToGrid w:val="0"/>
        <w:rPr>
          <w:sz w:val="20"/>
        </w:rPr>
      </w:pPr>
      <m:oMath>
        <m:r>
          <m:rPr>
            <m:sty m:val="p"/>
          </m:rPr>
          <w:rPr>
            <w:rFonts w:ascii="Cambria Math" w:hAnsi="Cambria Math" w:eastAsia="Cambria Math" w:cs="Cambria Math"/>
            <w:sz w:val="20"/>
            <w:szCs w:val="20"/>
          </w:rPr>
          <m:t>{D}</m:t>
        </m:r>
      </m:oMath>
      <w:r>
        <w:rPr>
          <w:rFonts w:hint="eastAsia"/>
          <w:sz w:val="20"/>
          <w:szCs w:val="20"/>
        </w:rPr>
        <w:t xml:space="preserve"> 的原点 O 位于静平台中心。正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轴垂直于静平台，由动平台指向静平台；正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轴在静平台平面内从 O 指向第一支链的静平台连接点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1</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oMath>
      <w:r>
        <w:rPr>
          <w:rFonts w:hint="eastAsia"/>
          <w:sz w:val="20"/>
          <w:szCs w:val="20"/>
        </w:rPr>
        <w:t xml:space="preserve"> 轴按右手系确定，三轴单位矢量满足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hint="eastAsia"/>
          <w:sz w:val="20"/>
          <w:szCs w:val="20"/>
        </w:rPr>
        <w:t xml:space="preserve">，工作侧为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&lt;0</m:t>
        </m:r>
      </m:oMath>
      <w:r>
        <w:rPr>
          <w:rFonts w:hint="eastAsia"/>
          <w:sz w:val="20"/>
          <w:szCs w:val="20"/>
        </w:rPr>
        <w:t xml:space="preserve">。静、动平台连接点分布圆半径分别记为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 xml:space="preserve">，主动臂和从动臂长度为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 xml:space="preserve">。三支链方位角绕正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轴按右手方向、从正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轴起算：</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 xml:space="preserve">，径向单位矢量为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=[0,−sin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 xml:space="preserve">。主动臂角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rFonts w:hint="eastAsia"/>
          <w:sz w:val="20"/>
          <w:szCs w:val="20"/>
        </w:rPr>
        <w:t xml:space="preserve"> 从静平台平面内的径向外侧方向起算，朝负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工作侧转动为正。几何关系如 Fig. 10 所示；单支链图采用对称构型展示角度与长度定义，虚线段对应(25)中的等效长度约束。</w:t>
      </w:r>
    </w:p>
    <w:p w14:paraId="6F109001">
      <w:pPr>
        <w:keepNext/>
        <w:keepLines/>
        <w:numPr>
          <w:ilvl w:val="0"/>
          <w:numId w:val="0"/>
        </w:numPr>
        <w:snapToGrid w:val="0"/>
        <w:spacing w:before="60" w:after="60" w:line="240" w:lineRule="auto"/>
        <w:ind w:left="0" w:right="0" w:firstLine="0"/>
        <w:jc w:val="center"/>
      </w:pPr>
      <w:r>
        <w:drawing>
          <wp:inline distT="0" distB="0" distL="0" distR="0">
            <wp:extent cx="2159635" cy="5554345"/>
            <wp:effectExtent l="0" t="0" r="7620" b="8255"/>
            <wp:docPr id="30" name="Fig. 10" descr="Delta 三支链及单支链几何模型，基座原点位于静平台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 10" descr="Delta 三支链及单支链几何模型，基座原点位于静平台中心"/>
                    <pic:cNvPicPr>
                      <a:picLocks noChangeAspect="1"/>
                    </pic:cNvPicPr>
                  </pic:nvPicPr>
                  <pic:blipFill>
                    <a:blip r:embed="rId15"/>
                    <a:stretch>
                      <a:fillRect/>
                    </a:stretch>
                  </pic:blipFill>
                  <pic:spPr>
                    <a:xfrm>
                      <a:off x="0" y="0"/>
                      <a:ext cx="2160000" cy="5554558"/>
                    </a:xfrm>
                    <a:prstGeom prst="rect">
                      <a:avLst/>
                    </a:prstGeom>
                  </pic:spPr>
                </pic:pic>
              </a:graphicData>
            </a:graphic>
          </wp:inline>
        </w:drawing>
      </w:r>
    </w:p>
    <w:p w14:paraId="6F109002">
      <w:pPr>
        <w:pStyle w:val="18"/>
        <w:numPr>
          <w:ilvl w:val="0"/>
          <w:numId w:val="0"/>
        </w:numPr>
        <w:snapToGrid w:val="0"/>
      </w:pPr>
      <w:r>
        <w:t>Fig. 10. Delta 机械臂几何模型。（a）三支链构型，基座原点 O 位于静平台中心，正 x 轴沿平台法向由动平台指向静平台，正 z 轴从 O 指向 A1，三轴按右手系定义；动平台中心为 P，成对从动杆构成平行四边形并保持两平台平行。（b）对称构型下的单支链剖面，标出平台半径、杆长、主动臂角及等效球心。</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[1]）</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(24)</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(25)</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(26)</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(27)</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(28)</w:t>
            </w:r>
          </w:p>
        </w:tc>
      </w:tr>
    </w:tbl>
    <w:p w14:paraId="415E9CFE">
      <w:pPr>
        <w:pStyle w:val="7"/>
        <w:numPr>
          <w:ilvl w:val="0"/>
          <w:numId w:val="0"/>
        </w:numPr>
        <w:snapToGrid w:val="0"/>
        <w:rPr>
          <w:sz w:val="20"/>
        </w:rPr>
      </w:pPr>
      <w:r>
        <w:rPr>
          <w:rFonts w:ascii="Times New Roman" w:hAnsi="Times New Roman" w:eastAsia="宋体"/>
          <w:sz w:val="20"/>
          <w:szCs w:val="20"/>
        </w:rPr>
        <w:t xml:space="preserve">记 </w:t>
      </w:r>
      <m:oMath>
        <m:sSub>
          <m:e>
            <m:r>
              <m:rPr>
                <m:sty m:val="bi"/>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1,yz</m:t>
            </m:r>
          </m:sub>
        </m:sSub>
        <m:r>
          <m:rPr>
            <m:sty m:val="p"/>
          </m:rPr>
          <w:rPr>
            <w:rFonts w:ascii="Cambria Math" w:hAnsi="Cambria Math" w:eastAsia="Cambria Math" w:cs="Cambria Math"/>
            <w:sz w:val="20"/>
            <w:szCs w:val="20"/>
          </w:rPr>
          <m:t>=</m:t>
        </m:r>
        <m:sSup>
          <m:e>
            <m:r>
              <m:rPr>
                <m:sty m:val="p"/>
              </m:rPr>
              <w:rPr>
                <w:rFonts w:ascii="Cambria Math" w:hAnsi="Cambria Math" w:eastAsia="Cambria Math" w:cs="Cambria Math"/>
                <w:sz w:val="20"/>
                <w:szCs w:val="20"/>
              </w:rPr>
              <m:t>[</m:t>
            </m:r>
            <m:sSub>
              <m:e>
                <m:r>
                  <m:rPr>
                    <m:sty m:val="i"/>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1y</m:t>
                </m:r>
              </m:sub>
            </m:sSub>
            <m:r>
              <m:rPr>
                <m:sty m:val="p"/>
              </m:rPr>
              <w:rPr>
                <w:rFonts w:ascii="Cambria Math" w:hAnsi="Cambria Math" w:eastAsia="Cambria Math" w:cs="Cambria Math"/>
                <w:sz w:val="20"/>
                <w:szCs w:val="20"/>
              </w:rPr>
              <m:t>,</m:t>
            </m:r>
            <m:sSub>
              <m:e>
                <m:r>
                  <m:rPr>
                    <m:sty m:val="i"/>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1z</m:t>
                </m:r>
              </m:sub>
            </m:sSub>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ascii="Times New Roman" w:hAnsi="Times New Roman" w:eastAsia="宋体"/>
          <w:sz w:val="20"/>
          <w:szCs w:val="20"/>
        </w:rPr>
        <w:t xml:space="preserve">，代回第一球面，得到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ascii="Times New Roman" w:hAnsi="Times New Roman" w:eastAsia="宋体"/>
          <w:sz w:val="20"/>
          <w:szCs w:val="20"/>
        </w:rPr>
        <w:t xml:space="preserve">，其中</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(29)</w:t>
            </w:r>
          </w:p>
        </w:tc>
      </w:tr>
    </w:tbl>
    <w:p w14:paraId="2BB35DD4">
      <w:pPr>
        <w:pStyle w:val="7"/>
        <w:numPr>
          <w:ilvl w:val="0"/>
          <w:numId w:val="0"/>
        </w:numPr>
        <w:snapToGrid w:val="0"/>
        <w:rPr>
          <w:sz w:val="20"/>
        </w:rPr>
      </w:pPr>
      <w:r>
        <w:rPr>
          <w:rFonts w:hint="eastAsia"/>
          <w:sz w:val="20"/>
          <w:szCs w:val="20"/>
          <w:lang w:eastAsia="zh-CN"/>
        </w:rPr>
        <w:t xml:space="preserve">从二次方程候选根中</w:t>
      </w:r>
      <w:r>
        <w:rPr>
          <w:rFonts w:hint="eastAsia"/>
          <w:sz w:val="20"/>
          <w:szCs w:val="20"/>
        </w:rPr>
        <w:t>选择满足工作侧、机构装配分支和连续性条件的根。</w:t>
      </w:r>
    </w:p>
    <w:bookmarkEnd w:id="12"/>
    <w:p w14:paraId="01EF466D">
      <w:pPr>
        <w:pStyle w:val="4"/>
        <w:numPr>
          <w:ilvl w:val="2"/>
          <w:numId w:val="0"/>
        </w:numPr>
        <w:snapToGrid w:val="0"/>
      </w:pPr>
      <w:bookmarkStart w:id="13" w:name="雅可比与力矩前馈"/>
      <w:r>
        <w:t xml:space="preserve">2) </w:t>
      </w:r>
      <w:r>
        <w:rPr>
          <w:rFonts w:hint="eastAsia"/>
        </w:rPr>
        <w:t>雅可比与力矩前馈</w:t>
      </w:r>
    </w:p>
    <w:p w14:paraId="79ABCD24">
      <w:pPr>
        <w:pStyle w:val="7"/>
        <w:numPr>
          <w:ilvl w:val="0"/>
          <w:numId w:val="0"/>
        </w:numPr>
        <w:snapToGrid w:val="0"/>
        <w:rPr>
          <w:rFonts w:hint="default" w:eastAsia="SimSun"/>
          <w:sz w:val="20"/>
          <w:szCs w:val="20"/>
          <w:lang w:val="en-US" w:eastAsia="zh-CN"/>
        </w:rPr>
      </w:pPr>
      <w:r>
        <w:rPr>
          <w:rFonts w:hint="eastAsia"/>
          <w:sz w:val="20"/>
          <w:szCs w:val="20"/>
          <w:lang w:eastAsia="zh-CN"/>
        </w:rPr>
        <w:t>为降低操作员的手部施力负担并改善操作精度，遥操作控制器通过 Delta 机构的三个主动关节施加前馈力矩，补偿机构自重的部分影响。</w:t>
      </w:r>
      <w:r>
        <w:rPr>
          <w:rFonts w:hint="eastAsia"/>
          <w:sz w:val="20"/>
          <w:szCs w:val="20"/>
          <w:lang w:val="en-US" w:eastAsia="zh-CN"/>
        </w:rPr>
        <w:t/>
      </w:r>
    </w:p>
    <w:p w14:paraId="519C5055">
      <w:pPr>
        <w:pStyle w:val="7"/>
        <w:numPr>
          <w:ilvl w:val="0"/>
          <w:numId w:val="0"/>
        </w:numPr>
        <w:snapToGrid w:val="0"/>
        <w:rPr>
          <w:sz w:val="20"/>
        </w:rPr>
      </w:pPr>
      <w:r>
        <w:rPr>
          <w:rFonts w:hint="eastAsia"/>
          <w:sz w:val="20"/>
          <w:szCs w:val="20"/>
        </w:rPr>
        <w:t xml:space="preserve">记三主动关节角组成的向量为 </w:t>
      </w:r>
      <m:oMath>
        <m:sSub>
          <m:sSubPr/>
          <m:e>
            <m:r>
              <m:rPr>
                <m:sty m:val="bi"/>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sub>
        </m:sSub>
      </m:oMath>
      <w:r>
        <w:rPr>
          <w:rFonts w:hint="eastAsia"/>
          <w:sz w:val="20"/>
          <w:szCs w:val="20"/>
        </w:rPr>
        <w:t>。在非奇异工作区域，动平台位置对关节角的雅可比矩阵及速度关系为</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sub>
                    </m:sSub>
                  </m:den>
                </m:f>
                <m:r>
                  <m:rPr>
                    <m:sty m:val="p"/>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38FE593A">
            <w:pPr>
              <w:numPr>
                <w:ilvl w:val="0"/>
                <w:numId w:val="0"/>
              </w:numPr>
              <w:snapToGrid w:val="0"/>
              <w:jc w:val="right"/>
              <w:rPr>
                <w:sz w:val="16"/>
              </w:rPr>
            </w:pPr>
            <w:r>
              <w:rPr>
                <w:sz w:val="16"/>
                <w:szCs w:val="16"/>
              </w:rPr>
              <w:t>(30)</w:t>
            </w:r>
          </w:p>
        </w:tc>
      </w:tr>
    </w:tbl>
    <w:p w14:paraId="75055430">
      <w:pPr>
        <w:pStyle w:val="7"/>
        <w:numPr>
          <w:ilvl w:val="0"/>
          <w:numId w:val="0"/>
        </w:numPr>
        <w:snapToGrid w:val="0"/>
        <w:rPr>
          <w:sz w:val="20"/>
        </w:rPr>
      </w:pPr>
      <w:r>
        <w:rPr>
          <w:rFonts w:hint="eastAsia"/>
          <w:sz w:val="20"/>
          <w:szCs w:val="20"/>
        </w:rPr>
        <w:t xml:space="preserve">由虚功原理，动平台的期望支撑力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 xml:space="preserve"> 对应的电机前馈力矩为</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(31)</w:t>
            </w:r>
          </w:p>
        </w:tc>
      </w:tr>
    </w:tbl>
    <w:p w14:paraId="23750A0F">
      <w:pPr>
        <w:pStyle w:val="7"/>
        <w:numPr>
          <w:ilvl w:val="0"/>
          <w:numId w:val="0"/>
        </w:numPr>
        <w:snapToGrid w:val="0"/>
        <w:rPr>
          <w:rFonts w:hint="eastAsia" w:eastAsia="SimSun"/>
          <w:sz w:val="20"/>
          <w:lang w:eastAsia="zh-CN"/>
        </w:rPr>
      </w:pPr>
      <w:r>
        <w:rPr>
          <w:rFonts w:hint="eastAsia"/>
          <w:sz w:val="20"/>
          <w:szCs w:val="20"/>
        </w:rPr>
        <w:t xml:space="preserve">重力补偿取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 xml:space="preserve">，其中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 xml:space="preserve"> 为动平台与手柄的等效质量，</w:t>
      </w:r>
      <m:oMath>
        <m:r>
          <m:rPr>
            <m:sty m:val="bi"/>
          </m:rPr>
          <w:rPr>
            <w:rFonts w:ascii="Cambria Math" w:hAnsi="Cambria Math" w:eastAsia="Cambria Math" w:cs="Cambria Math"/>
            <w:sz w:val="20"/>
            <w:szCs w:val="20"/>
          </w:rPr>
          <m:t>g</m:t>
        </m:r>
      </m:oMath>
      <w:r>
        <w:rPr>
          <w:rFonts w:hint="eastAsia"/>
          <w:sz w:val="20"/>
          <w:szCs w:val="20"/>
        </w:rPr>
        <w:t xml:space="preserve"> 为基座坐标系 {D} 下的重力加速度向量</w:t>
      </w:r>
      <w:r>
        <w:rPr>
          <w:rFonts w:hint="eastAsia"/>
          <w:sz w:val="20"/>
          <w:szCs w:val="20"/>
          <w:lang w:eastAsia="zh-CN"/>
        </w:rPr>
        <w:t>。</w:t>
      </w:r>
    </w:p>
    <w:bookmarkEnd w:id="13"/>
    <w:p w14:paraId="4E78815B">
      <w:pPr>
        <w:pStyle w:val="4"/>
        <w:numPr>
          <w:ilvl w:val="2"/>
          <w:numId w:val="0"/>
        </w:numPr>
        <w:snapToGrid w:val="0"/>
      </w:pPr>
      <w:bookmarkStart w:id="14" w:name="位姿映射与关节指令"/>
      <w:r>
        <w:t xml:space="preserve">3) </w:t>
      </w:r>
      <w:r>
        <w:rPr>
          <w:rFonts w:hint="eastAsia"/>
        </w:rPr>
        <w:t>位姿映射与关节指令</w:t>
      </w:r>
    </w:p>
    <w:p w14:paraId="0CF8E7EC">
      <w:pPr>
        <w:pStyle w:val="7"/>
        <w:numPr>
          <w:ilvl w:val="0"/>
          <w:numId w:val="0"/>
        </w:numPr>
        <w:snapToGrid w:val="0"/>
        <w:rPr>
          <w:sz w:val="20"/>
        </w:rPr>
      </w:pPr>
      <w:r>
        <w:rPr>
          <w:rFonts w:hint="eastAsia"/>
          <w:sz w:val="20"/>
          <w:szCs w:val="20"/>
        </w:rPr>
        <w:t xml:space="preserve">主端的位置输入取 Delta 动平台中心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p>
          <m:sSupPr/>
          <m:e>
            <m:d>
              <m:dPr>
                <m:begChr m:val="["/>
                <m:endChr m:val="]"/>
              </m:dPr>
              <m:e>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e>
            </m:d>
          </m:e>
          <m:sup>
            <m:r>
              <m:rPr>
                <m:sty m:val="p"/>
              </m:rPr>
              <w:rPr>
                <w:rFonts w:ascii="Cambria Math" w:hAnsi="Cambria Math" w:eastAsia="Cambria Math" w:cs="Cambria Math"/>
                <w:sz w:val="20"/>
                <w:szCs w:val="20"/>
              </w:rPr>
              <m:t>T</m:t>
            </m:r>
          </m:sup>
        </m:sSup>
      </m:oMath>
      <w:r>
        <w:rPr>
          <w:rFonts w:hint="eastAsia"/>
          <w:sz w:val="20"/>
          <w:szCs w:val="20"/>
        </w:rPr>
        <w:t xml:space="preserve">。手柄采用动轴 X–Y–Z 欧拉角：从 j1 到 j3 依次为滚转（roll）、俯仰（pitch）、偏航（yaw），经编码器零位与正向标定后分别记为 </w:t>
      </w:r>
      <m:oMath>
        <m:d>
          <m:dPr/>
          <m:e>
            <m:sSub>
              <m:sSubPr/>
              <m:e>
                <m:r>
                  <m:rPr/>
                  <w:rPr>
                    <w:rFonts w:ascii="Cambria Math" w:hAnsi="Cambria Math" w:eastAsia="Cambria Math" w:cs="Cambria Math"/>
                    <w:sz w:val="20"/>
                    <w:szCs w:val="20"/>
                  </w:rPr>
                  <m:t>ϕ</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ψ</m:t>
                </m:r>
              </m:e>
              <m:sub>
                <m:r>
                  <m:rPr>
                    <m:sty m:val="p"/>
                  </m:rPr>
                  <w:rPr>
                    <w:rFonts w:ascii="Cambria Math" w:hAnsi="Cambria Math" w:eastAsia="Cambria Math" w:cs="Cambria Math"/>
                    <w:sz w:val="20"/>
                    <w:szCs w:val="20"/>
                  </w:rPr>
                  <m:t>h</m:t>
                </m:r>
              </m:sub>
            </m:sSub>
          </m:e>
        </m:d>
      </m:oMath>
      <w:r>
        <w:rPr>
          <w:rFonts w:hint="eastAsia"/>
          <w:sz w:val="20"/>
          <w:szCs w:val="20"/>
        </w:rPr>
        <w:t>，单位为弧度。j1 绕初始 x 轴旋转，j2 绕经 j1 旋转后的 y 轴旋转，j3 绕经前两关节旋转后的 z 轴旋转，正向均遵循右手定则。主端旋转矩阵及位姿输入的齐次矩阵为</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h,0</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x</m:t>
                        </m:r>
                      </m:sub>
                    </m:sSub>
                    <m:d>
                      <m:dPr/>
                      <m:e>
                        <m:sSub>
                          <m:sSubPr/>
                          <m:e>
                            <m:r>
                              <m:rPr/>
                              <w:rPr>
                                <w:rFonts w:ascii="Cambria Math" w:hAnsi="Cambria Math" w:eastAsia="Cambria Math" w:cs="Cambria Math"/>
                                <w:sz w:val="18"/>
                                <w:szCs w:val="18"/>
                              </w:rPr>
                              <m:t>ϕ</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y</m:t>
                        </m:r>
                      </m:sub>
                    </m:sSub>
                    <m:d>
                      <m:dPr/>
                      <m:e>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z</m:t>
                        </m:r>
                      </m:sub>
                    </m:sSub>
                    <m:d>
                      <m:dPr/>
                      <m:e>
                        <m:sSub>
                          <m:sSubPr/>
                          <m:e>
                            <m:r>
                              <m:rPr/>
                              <w:rPr>
                                <w:rFonts w:ascii="Cambria Math" w:hAnsi="Cambria Math" w:eastAsia="Cambria Math" w:cs="Cambria Math"/>
                                <w:sz w:val="18"/>
                                <w:szCs w:val="18"/>
                              </w:rPr>
                              <m:t>ψ</m:t>
                            </m:r>
                          </m:e>
                          <m:sub>
                            <m:r>
                              <m:rPr>
                                <m:sty m:val="p"/>
                              </m:rPr>
                              <w:rPr>
                                <w:rFonts w:ascii="Cambria Math" w:hAnsi="Cambria Math" w:eastAsia="Cambria Math" w:cs="Cambria Math"/>
                                <w:sz w:val="18"/>
                                <w:szCs w:val="18"/>
                              </w:rPr>
                              <m:t>h</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Dh</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e>
                </m:eqArr>
              </m:oMath>
            </m:oMathPara>
          </w:p>
        </w:tc>
        <w:tc>
          <w:tcPr>
            <w:tcW w:w="390" w:type="dxa"/>
            <w:vAlign w:val="center"/>
          </w:tcPr>
          <w:p w14:paraId="39CB4922">
            <w:pPr>
              <w:numPr>
                <w:ilvl w:val="0"/>
                <w:numId w:val="0"/>
              </w:numPr>
              <w:snapToGrid w:val="0"/>
              <w:jc w:val="right"/>
              <w:rPr>
                <w:sz w:val="16"/>
              </w:rPr>
            </w:pPr>
            <w:r>
              <w:rPr>
                <w:sz w:val="16"/>
                <w:szCs w:val="16"/>
              </w:rPr>
              <w:t>(32)</w:t>
            </w:r>
          </w:p>
        </w:tc>
      </w:tr>
    </w:tbl>
    <w:p w14:paraId="27CBECC9">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为手柄零位姿态相对 {D} 的固定安装旋转；零位坐标轴与 {D} 对齐时，</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等于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3</m:t>
            </m:r>
          </m:sub>
        </m:sSub>
      </m:oMath>
      <w:r>
        <w:rPr>
          <w:rFonts w:hint="eastAsia"/>
          <w:sz w:val="20"/>
          <w:szCs w:val="20"/>
        </w:rPr>
        <w:t>。动轴旋转依次右乘，故三个关节的旋转矩阵按 roll、pitch、yaw 排列。</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oMath>
      <w:r>
        <w:rPr>
          <w:rFonts w:hint="eastAsia"/>
          <w:sz w:val="20"/>
          <w:szCs w:val="20"/>
        </w:rPr>
        <w:t xml:space="preserve"> 将手柄姿态坐标系的分量变换至 {D}，该姿态坐标系的原点取位置输入点，即动平台中心。</w:t>
      </w:r>
      <w:r>
        <w:rPr>
          <w:rFonts w:ascii="Times New Roman" w:hAnsi="Times New Roman" w:eastAsia="宋体"/>
          <w:sz w:val="20"/>
          <w:szCs w:val="20"/>
        </w:rPr>
        <w:t xml:space="preserve">其中，</w:t>
      </w:r>
      <m:oMath>
        <m:sSub>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x</m:t>
            </m:r>
          </m:sub>
        </m:sSub>
      </m:oMath>
      <w:r>
        <w:rPr>
          <w:rFonts w:ascii="Times New Roman" w:hAnsi="Times New Roman" w:eastAsia="宋体"/>
          <w:sz w:val="20"/>
          <w:szCs w:val="20"/>
        </w:rPr>
        <w:t xml:space="preserve">、</w:t>
      </w:r>
      <m:oMath>
        <m:sSub>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y</m:t>
            </m:r>
          </m:sub>
        </m:sSub>
      </m:oMath>
      <w:r>
        <w:rPr>
          <w:rFonts w:ascii="Times New Roman" w:hAnsi="Times New Roman" w:eastAsia="宋体"/>
          <w:sz w:val="20"/>
          <w:szCs w:val="20"/>
        </w:rPr>
        <w:t xml:space="preserve">、</w:t>
      </w:r>
      <m:oMath>
        <m:sSub>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z</m:t>
            </m:r>
          </m:sub>
        </m:sSub>
      </m:oMath>
      <w:r>
        <w:rPr>
          <w:rFonts w:ascii="Times New Roman" w:hAnsi="Times New Roman" w:eastAsia="宋体"/>
          <w:sz w:val="20"/>
          <w:szCs w:val="20"/>
        </w:rPr>
        <w:t xml:space="preserve"> 分别为绕相应坐标轴的右手基本旋转矩阵。</w:t>
      </w:r>
    </w:p>
    <w:p w14:paraId="39B0740A">
      <w:pPr>
        <w:pStyle w:val="7"/>
        <w:numPr>
          <w:ilvl w:val="0"/>
          <w:numId w:val="0"/>
        </w:numPr>
        <w:snapToGrid w:val="0"/>
        <w:rPr>
          <w:sz w:val="20"/>
        </w:rPr>
      </w:pPr>
      <w:r>
        <w:rPr>
          <w:rFonts w:hint="eastAsia"/>
          <w:sz w:val="20"/>
          <w:szCs w:val="20"/>
        </w:rPr>
        <w:t xml:space="preserve">将从端机械臂基坐标系记为 {A}，与 I-C 节的坐标系 {0} 一致。初始化时记录主端位置零点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D,0</m:t>
            </m:r>
          </m:sub>
        </m:sSub>
      </m:oMath>
      <w:r>
        <w:rPr>
          <w:rFonts w:hint="eastAsia"/>
          <w:sz w:val="20"/>
          <w:szCs w:val="20"/>
        </w:rPr>
        <w:t xml:space="preserve"> 和从端参考位置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A,0</m:t>
            </m:r>
          </m:sub>
        </m:sSub>
      </m:oMath>
      <w:r>
        <w:rPr>
          <w:rFonts w:hint="eastAsia"/>
          <w:sz w:val="20"/>
          <w:szCs w:val="20"/>
        </w:rPr>
        <w:t>，由主端矩阵中的位置、姿态分块计算从端目标：</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d>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D,0</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tool</m:t>
                        </m:r>
                      </m:sub>
                    </m:sSub>
                    <m:r>
                      <m:rPr>
                        <m:sty m:val="p"/>
                      </m:rPr>
                      <w:rPr>
                        <w:rFonts w:ascii="Cambria Math" w:hAnsi="Cambria Math" w:eastAsia="Cambria Math" w:cs="Cambria Math"/>
                        <w:sz w:val="18"/>
                        <w:szCs w:val="18"/>
                      </w:rPr>
                      <m:t>.</m:t>
                    </m:r>
                  </m:e>
                </m:eqArr>
              </m:oMath>
            </m:oMathPara>
          </w:p>
        </w:tc>
        <w:tc>
          <w:tcPr>
            <w:tcW w:w="390" w:type="dxa"/>
            <w:vAlign w:val="center"/>
          </w:tcPr>
          <w:p w14:paraId="36F9BD1D">
            <w:pPr>
              <w:numPr>
                <w:ilvl w:val="0"/>
                <w:numId w:val="0"/>
              </w:numPr>
              <w:snapToGrid w:val="0"/>
              <w:jc w:val="right"/>
              <w:rPr>
                <w:sz w:val="16"/>
              </w:rPr>
            </w:pPr>
            <w:r>
              <w:rPr>
                <w:sz w:val="16"/>
                <w:szCs w:val="16"/>
              </w:rPr>
              <w:t>(33)</w:t>
            </w:r>
          </w:p>
        </w:tc>
      </w:tr>
    </w:tbl>
    <w:p w14:paraId="0BF1969F">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 xml:space="preserve"> 将 {D} 中的分量旋转至 {A}；</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d>
          <m:dPr/>
          <m:e>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z</m:t>
                </m:r>
              </m:sub>
            </m:sSub>
          </m:e>
        </m:d>
      </m:oMath>
      <w:r>
        <w:rPr>
          <w:rFonts w:hint="eastAsia"/>
          <w:sz w:val="20"/>
          <w:szCs w:val="20"/>
        </w:rPr>
        <w:t xml:space="preserve"> 为无量纲位置缩放矩阵，沿从端基坐标轴分别缩放；</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tool</m:t>
            </m:r>
          </m:sub>
        </m:sSub>
      </m:oMath>
      <w:r>
        <w:rPr>
          <w:rFonts w:hint="eastAsia"/>
          <w:sz w:val="20"/>
          <w:szCs w:val="20"/>
        </w:rPr>
        <w:t xml:space="preserve"> 为从端工具姿态相对手柄姿态的固定校准旋转。两项姿态校准均由安装关系确定。主端先完成姿态校准，再转换为 RPY 发送，因此接收端按同一动轴 X–Y–Z 约定还原后即可得到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，不再重复施加校准。</w:t>
      </w:r>
    </w:p>
    <w:p w14:paraId="4BCDE9C3">
      <w:pPr>
        <w:pStyle w:val="7"/>
        <w:numPr>
          <w:ilvl w:val="0"/>
          <w:numId w:val="0"/>
        </w:numPr>
        <w:snapToGrid w:val="0"/>
        <w:rPr>
          <w:sz w:val="20"/>
        </w:rPr>
      </w:pPr>
      <w:r>
        <w:rPr>
          <w:rFonts w:hint="eastAsia"/>
          <w:sz w:val="20"/>
          <w:szCs w:val="20"/>
        </w:rPr>
        <w:t>将(33)的目标位置和姿态重新组合，得到从端末端相对机械臂基座的目标齐次变换矩阵：</w:t>
      </w:r>
      <w:bookmarkStart w:id="18" w:name="_GoBack"/>
      <w:bookmarkEnd w:id="18"/>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1B38611E">
            <w:pPr>
              <w:numPr>
                <w:ilvl w:val="0"/>
                <w:numId w:val="0"/>
              </w:numPr>
              <w:snapToGrid w:val="0"/>
              <w:jc w:val="right"/>
              <w:rPr>
                <w:sz w:val="16"/>
              </w:rPr>
            </w:pPr>
            <w:r>
              <w:rPr>
                <w:sz w:val="16"/>
                <w:szCs w:val="16"/>
              </w:rPr>
              <w:t>(34)</w:t>
            </w:r>
          </w:p>
        </w:tc>
      </w:tr>
    </w:tbl>
    <w:p w14:paraId="25B95CA1">
      <w:pPr>
        <w:pStyle w:val="7"/>
        <w:numPr>
          <w:ilvl w:val="0"/>
          <w:numId w:val="0"/>
        </w:numPr>
        <w:snapToGrid w:val="0"/>
        <w:rPr>
          <w:sz w:val="20"/>
        </w:rPr>
      </w:pPr>
      <w:r>
        <w:rPr>
          <w:rFonts w:hint="eastAsia"/>
          <w:sz w:val="20"/>
          <w:szCs w:val="20"/>
        </w:rPr>
        <w:t>该矩阵的旋转块与平移列分别对应 I-C 节的末端目标姿态和位置，关节指令由解析逆运动学（inverse kinematics，IK）映射得到：</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=IK</m:t>
                    </m:r>
                    <m:d>
                      <m:dPr/>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e>
                    </m:d>
                    <m:r>
                      <m:rPr>
                        <m:sty m:val="p"/>
                      </m:rPr>
                      <w:rPr>
                        <w:rFonts w:ascii="Cambria Math" w:hAnsi="Cambria Math" w:eastAsia="Cambria Math" w:cs="Cambria Math"/>
                        <w:sz w:val="18"/>
                        <w:szCs w:val="18"/>
                      </w:rPr>
                      <m:t>.</m:t>
                    </m:r>
                  </m:e>
                </m:eqArr>
              </m:oMath>
            </m:oMathPara>
          </w:p>
        </w:tc>
        <w:tc>
          <w:tcPr>
            <w:tcW w:w="390" w:type="dxa"/>
            <w:vAlign w:val="center"/>
          </w:tcPr>
          <w:p w14:paraId="6166FC46">
            <w:pPr>
              <w:numPr>
                <w:ilvl w:val="0"/>
                <w:numId w:val="0"/>
              </w:numPr>
              <w:snapToGrid w:val="0"/>
              <w:jc w:val="right"/>
              <w:rPr>
                <w:sz w:val="16"/>
              </w:rPr>
            </w:pPr>
            <w:r>
              <w:rPr>
                <w:sz w:val="16"/>
                <w:szCs w:val="16"/>
              </w:rPr>
              <w:t>(35)</w:t>
            </w:r>
          </w:p>
        </w:tc>
      </w:tr>
    </w:tbl>
    <w:p w14:paraId="18B99B99">
      <w:pPr>
        <w:pStyle w:val="7"/>
        <w:numPr>
          <w:ilvl w:val="0"/>
          <w:numId w:val="0"/>
        </w:numPr>
        <w:snapToGrid w:val="0"/>
        <w:rPr>
          <w:sz w:val="20"/>
        </w:rPr>
      </w:pPr>
      <w:r>
        <w:rPr>
          <w:rFonts w:hint="eastAsia"/>
          <w:sz w:val="20"/>
          <w:szCs w:val="20"/>
        </w:rPr>
        <w:t xml:space="preserve">具体而言，先由(20)扣除工具偏置得到腕心，再由(21)计算前三个关节角；随后用(22)求腕部相对姿态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36</m:t>
            </m:r>
          </m:sub>
        </m:sSub>
      </m:oMath>
      <w:r>
        <w:rPr>
          <w:rFonts w:hint="eastAsia"/>
          <w:sz w:val="20"/>
          <w:szCs w:val="20"/>
        </w:rPr>
        <w:t xml:space="preserve">，由(23)及零位偏置得到后三个关节角。保留满足关节限位且与上一时刻最接近的可行解，作为六轴关节指令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a,d</m:t>
            </m:r>
          </m:sub>
        </m:sSub>
      </m:oMath>
      <w:r>
        <w:rPr>
          <w:rFonts w:hint="eastAsia"/>
          <w:sz w:val="20"/>
          <w:szCs w:val="20"/>
        </w:rPr>
        <w:t>。</w:t>
      </w:r>
    </w:p>
    <w:bookmarkEnd w:id="2"/>
    <w:bookmarkEnd w:id="11"/>
    <w:bookmarkEnd w:id="14"/>
    <w:p w14:paraId="3A278C2B">
      <w:pPr>
        <w:pStyle w:val="2"/>
        <w:numPr>
          <w:ilvl w:val="0"/>
          <w:numId w:val="0"/>
        </w:numPr>
        <w:snapToGrid w:val="0"/>
      </w:pPr>
      <w:bookmarkStart w:id="15" w:name="v.-结论conclusion"/>
      <w:r>
        <w:t>II. 结论</w:t>
      </w:r>
      <w:r>
        <w:rPr>
          <w:rFonts w:hint="eastAsia"/>
        </w:rPr>
        <w:t>（Conclusion）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提出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本文形成了底盘移动与姿态控制、机械臂逆运动学及主从位姿映射相结合的控制流程。整机能耗、末端定位精度及重复任务成功率仍需定量评估。后续将完善带物理约束的接触力分配与主从标定，统一仿真和实机测试条件，并通过重复任务试验评价该方案的效率、精度和适用范围。</w:t>
      </w:r>
    </w:p>
    <w:bookmarkEnd w:id="15"/>
    <w:p w14:paraId="7FEF48C1">
      <w:pPr>
        <w:pStyle w:val="6"/>
        <w:keepNext/>
        <w:numPr>
          <w:ilvl w:val="0"/>
          <w:numId w:val="0"/>
        </w:numPr>
        <w:snapToGrid w:val="0"/>
      </w:pPr>
      <w:bookmarkStart w:id="16" w:name="致谢acknowledgment"/>
      <w:r>
        <w:rPr>
          <w:rFonts w:hint="eastAsia"/>
        </w:rPr>
        <w:t>致谢（Acknowledgment）</w:t>
      </w:r>
    </w:p>
    <w:p w14:paraId="415C08CB">
      <w:pPr>
        <w:pStyle w:val="7"/>
        <w:numPr>
          <w:ilvl w:val="0"/>
          <w:numId w:val="0"/>
        </w:numPr>
        <w:snapToGrid w:val="0"/>
        <w:rPr>
          <w:sz w:val="20"/>
        </w:rPr>
      </w:pPr>
      <w:r>
        <w:rPr>
          <w:rFonts w:hint="eastAsia"/>
          <w:sz w:val="20"/>
          <w:szCs w:val="20"/>
        </w:rPr>
        <w:t/>
      </w:r>
    </w:p>
    <w:bookmarkEnd w:id="16"/>
    <w:p w14:paraId="07FDE488">
      <w:pPr>
        <w:pStyle w:val="6"/>
        <w:keepNext/>
        <w:numPr>
          <w:ilvl w:val="0"/>
          <w:numId w:val="0"/>
        </w:numPr>
        <w:snapToGrid w:val="0"/>
      </w:pPr>
      <w:bookmarkStart w:id="17" w:name="参考文献references"/>
      <w:r>
        <w:rPr>
          <w:rFonts w:hint="eastAsia"/>
        </w:rPr>
        <w:t>参考文献（References）</w:t>
      </w:r>
    </w:p>
    <w:p w14:paraId="4260D61B">
      <w:pPr>
        <w:pStyle w:val="22"/>
        <w:numPr>
          <w:ilvl w:val="0"/>
          <w:numId w:val="0"/>
        </w:numPr>
        <w:snapToGrid w:val="0"/>
      </w:pPr>
      <w:r>
        <w:t xml:space="preserve">[1] </w:t>
      </w:r>
      <w:r>
        <w:rPr>
          <w:rFonts w:hint="eastAsia"/>
        </w:rPr>
        <w:t>“机械部分，”项目机械设计资料，未出版。</w:t>
      </w:r>
    </w:p>
    <w:bookmarkEnd w:id="0"/>
    <w:bookmarkEnd w:id="17"/>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15B381E1"/>
    <w:rsid w:val="47FBC7DB"/>
    <w:rsid w:val="677EF307"/>
    <w:rsid w:val="6EFF9550"/>
    <w:rsid w:val="7CFFB4DD"/>
    <w:rsid w:val="7D7BC468"/>
    <w:rsid w:val="7DB3EA36"/>
    <w:rsid w:val="7DB9D918"/>
    <w:rsid w:val="7DDBEB2D"/>
    <w:rsid w:val="7F7C0272"/>
    <w:rsid w:val="7FFB82DC"/>
    <w:rsid w:val="7FFD2014"/>
    <w:rsid w:val="7FFE82C9"/>
    <w:rsid w:val="B31DD456"/>
    <w:rsid w:val="BBFFEEA7"/>
    <w:rsid w:val="C7EFD916"/>
    <w:rsid w:val="D1E9525F"/>
    <w:rsid w:val="DE3FEC34"/>
    <w:rsid w:val="F7FB23B8"/>
    <w:rsid w:val="FFAEC6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 Id="rId18" Type="http://schemas.openxmlformats.org/officeDocument/2006/relationships/image" Target="media/arm_joint_frames_correcte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7</Pages>
  <Words>2151</Words>
  <Characters>12267</Characters>
  <Lines>102</Lines>
  <Paragraphs>28</Paragraphs>
  <TotalTime>133</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2026-10-08T18:20:00Z</dcterms:created>
  <dc:creator>赵苏亚</dc:creator>
  <cp:lastModifiedBy>赵苏亚</cp:lastModifiedBy>
  <dcterms:modified xsi:type="dcterms:W3CDTF">2026-10-07T19:03:22Z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