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2" w:name="iii.-提出的方法proposed-method"/>
      <w:r>
        <w:t>I. 提出的方法</w:t>
      </w:r>
      <w:r>
        <w:rPr>
          <w:rFonts w:hint="eastAsia"/>
        </w:rPr>
        <w:t>（Proposed</w:t>
      </w:r>
      <w:r>
        <w:t xml:space="preserve"> </w:t>
      </w:r>
      <w:r>
        <w:rPr>
          <w:rFonts w:hint="eastAsia"/>
        </w:rPr>
        <w:t>Method）</w:t>
      </w:r>
    </w:p>
    <w:p w14:paraId="33EBB027">
      <w:pPr>
        <w:pStyle w:val="3"/>
        <w:numPr>
          <w:ilvl w:val="1"/>
          <w:numId w:val="0"/>
        </w:numPr>
        <w:snapToGrid w:val="0"/>
      </w:pPr>
      <w:bookmarkStart w:id="3"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[1]。</w:t>
      </w:r>
    </w:p>
    <w:p w14:paraId="6F10A102">
      <w:pPr>
        <w:pStyle w:val="7"/>
        <w:numPr>
          <w:ilvl w:val="0"/>
          <w:numId w:val="0"/>
        </w:numPr>
        <w:snapToGrid w:val="0"/>
        <w:rPr>
          <w:sz w:val="20"/>
        </w:rPr>
      </w:pPr>
      <w:r>
        <w:rPr>
          <w:rFonts w:hint="eastAsia"/>
          <w:sz w:val="20"/>
          <w:szCs w:val="20"/>
        </w:rPr>
        <w:t>机械臂模块安装于底盘上方，由六轴串联机械臂和夹爪组成。机械臂采用肘式臂与球腕结构，前三个关节主要确定腕心位置，后三个关节确定末端姿态；夹爪的开合自由度用于抓取。机械臂连杆采用碳纤维板与铝制加工件，夹爪采用连杆与滑轨机构 [1]。</w:t>
      </w:r>
    </w:p>
    <w:p w14:paraId="6F10A103">
      <w:pPr>
        <w:pStyle w:val="7"/>
        <w:numPr>
          <w:ilvl w:val="0"/>
          <w:numId w:val="0"/>
        </w:numPr>
        <w:snapToGrid w:val="0"/>
        <w:rPr>
          <w:sz w:val="20"/>
        </w:rPr>
      </w:pPr>
      <w:r>
        <w:rPr>
          <w:rFonts w:hint="eastAsia"/>
          <w:sz w:val="20"/>
          <w:szCs w:val="20"/>
        </w:rPr>
        <w:t>遥操作控制器作为主手，以三支链 Delta 并联机构测量三维位置，以安装在动平台上的三编码器手柄测量姿态。平行四边形从动臂使动平台始终与静平台保持平行，将平移输入与姿态输入分离；手柄从 j1 到 j3 依次对应动轴 roll、pitch、yaw。主手通过正运动学获得位置和姿态，并经无线链路向作为从手的机械臂发送位姿指令；主手的力矩前馈用于补偿自身重力，减轻静态持握负担。</w:t>
      </w:r>
    </w:p>
    <w:p w14:paraId="6F100001">
      <w:pPr>
        <w:keepNext/>
        <w:keepLines/>
        <w:numPr>
          <w:ilvl w:val="0"/>
          <w:numId w:val="0"/>
        </w:numPr>
        <w:snapToGrid w:val="0"/>
        <w:spacing w:before="60" w:after="60" w:line="240" w:lineRule="auto"/>
        <w:ind w:left="0" w:right="0" w:firstLine="0"/>
        <w:jc w:val="center"/>
      </w:pPr>
      <w:r>
        <w:drawing>
          <wp:inline distT="0" distB="0" distL="0" distR="0">
            <wp:extent cx="3059430" cy="3126105"/>
            <wp:effectExtent l="0" t="0" r="7620" b="7620"/>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Fig. 1" descr="Whole-robot modules and world, body, leg and arm DH base coordinate frames"/>
                    <pic:cNvPicPr>
                      <a:picLocks noChangeAspect="1"/>
                    </pic:cNvPicPr>
                  </pic:nvPicPr>
                  <pic:blipFill>
                    <a:blip r:embed="rId4"/>
                    <a:stretch>
                      <a:fillRect/>
                    </a:stretch>
                  </pic:blipFill>
                  <pic:spPr>
                    <a:xfrm>
                      <a:off x="0" y="0"/>
                      <a:ext cx="3060000" cy="3126575"/>
                    </a:xfrm>
                    <a:prstGeom prst="rect">
                      <a:avLst/>
                    </a:prstGeom>
                  </pic:spPr>
                </pic:pic>
              </a:graphicData>
            </a:graphic>
          </wp:inline>
        </w:drawing>
      </w:r>
    </w:p>
    <w:p w14:paraId="6F100003">
      <w:pPr>
        <w:keepNext/>
        <w:keepLines/>
        <w:numPr>
          <w:ilvl w:val="0"/>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ilvl w:val="0"/>
          <w:numId w:val="0"/>
        </w:numPr>
        <w:snapToGrid w:val="0"/>
        <w:spacing w:before="60" w:after="60" w:line="240" w:lineRule="auto"/>
        <w:ind w:left="0" w:right="0" w:firstLine="0"/>
        <w:jc w:val="center"/>
      </w:pPr>
      <w:r>
        <w:drawing>
          <wp:inline distT="0" distB="0" distL="0" distR="0">
            <wp:extent cx="3059430" cy="3877945"/>
            <wp:effectExtent l="0" t="0" r="7620" b="8255"/>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Fig. 1(b)" descr="Teleoperation controller, Delta robot and three-axis handle with base frame D"/>
                    <pic:cNvPicPr>
                      <a:picLocks noChangeAspect="1"/>
                    </pic:cNvPicPr>
                  </pic:nvPicPr>
                  <pic:blipFill>
                    <a:blip r:embed="rId5"/>
                    <a:stretch>
                      <a:fillRect/>
                    </a:stretch>
                  </pic:blipFill>
                  <pic:spPr>
                    <a:xfrm>
                      <a:off x="0" y="0"/>
                      <a:ext cx="3060000" cy="3878564"/>
                    </a:xfrm>
                    <a:prstGeom prst="rect">
                      <a:avLst/>
                    </a:prstGeom>
                  </pic:spPr>
                </pic:pic>
              </a:graphicData>
            </a:graphic>
          </wp:inline>
        </w:drawing>
      </w:r>
    </w:p>
    <w:p w14:paraId="6F100005">
      <w:pPr>
        <w:keepNext/>
        <w:keepLines/>
        <w:numPr>
          <w:ilvl w:val="0"/>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ilvl w:val="0"/>
          <w:numId w:val="0"/>
        </w:numPr>
        <w:snapToGrid w:val="0"/>
      </w:pPr>
      <w:r>
        <w:t>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整机控制流程如 Fig. 2 所示。底盘接收期望平动速度、加速度、基准高度及滚转、俯仰姿态角，分为关节控制器、麦克纳姆轮控制器和模型前馈三路。姿态角度—角速度双环 P 控制器根据 IMU 反馈产生等效腿长增量，经累加、腿高分配和腿部逆运动学得到目标关节角，再由单关节位置—速度串级 PID 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机械臂控制链以主手位姿为输入，经位置缩放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6"/>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r>
        <w:rPr>
          <w:rFonts w:ascii="Times New Roman" w:hAnsi="Times New Roman" w:eastAsia="宋体"/>
          <w:sz w:val="20"/>
          <w:szCs w:val="20"/>
        </w:rPr>
        <w:t xml:space="preserve">点号表示对时间求导，带期望标记时表示对应导数量的参考值；</w:t>
      </w:r>
      <m:oMath>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分别表示所在坐标系的三个坐标轴单位矢量。</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节定义。上述坐标系均采用右手约定，主手位姿须经坐标变换后用于从端逆运动学。</w:t>
      </w:r>
    </w:p>
    <w:bookmarkEnd w:id="3"/>
    <w:p w14:paraId="74A6E45F">
      <w:pPr>
        <w:pStyle w:val="3"/>
        <w:numPr>
          <w:ilvl w:val="1"/>
          <w:numId w:val="0"/>
        </w:numPr>
        <w:snapToGrid w:val="0"/>
      </w:pPr>
      <w:bookmarkStart w:id="4" w:name="b.-底盘模块"/>
      <w:r>
        <w:t xml:space="preserve">B. </w:t>
      </w:r>
      <w:r>
        <w:rPr>
          <w:rFonts w:hint="eastAsia"/>
        </w:rPr>
        <w:t>底盘模块</w:t>
      </w:r>
    </w:p>
    <w:p w14:paraId="05A1A8C5">
      <w:pPr>
        <w:pStyle w:val="4"/>
        <w:numPr>
          <w:ilvl w:val="2"/>
          <w:numId w:val="0"/>
        </w:numPr>
        <w:snapToGrid w:val="0"/>
      </w:pPr>
      <w:bookmarkStart w:id="5" w:name="概述与单腿运动学"/>
      <w:r>
        <w:t xml:space="preserve">1) 概述</w:t>
      </w:r>
      <w:r>
        <w:rPr>
          <w:rFonts w:hint="eastAsia"/>
        </w:rPr>
        <w:t xml:space="preserve"/>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采用“单腿建模—整机合力分配—关节执行”的分层结构。腿部关节调整支撑高度与前后轮心位置，车轮负责平面滚动。</w:t>
      </w:r>
    </w:p>
    <w:p w14:paraId="6F10B002">
      <w:pPr>
        <w:pStyle w:val="4"/>
        <w:numPr>
          <w:ilvl w:val="2"/>
          <w:numId w:val="0"/>
        </w:numPr>
        <w:snapToGrid w:val="0"/>
      </w:pPr>
      <w:r>
        <w:t xml:space="preserve">2) 单腿运动学</w:t>
      </w:r>
      <w:r>
        <w:rPr>
          <w:rFonts w:hint="eastAsia"/>
        </w:rPr>
        <w:t xml:space="preserve"/>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7"/>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w:rPr>
                <w:rFonts w:hint="eastAsia" w:hAnsi="Cambria Math" w:cs="Cambria Math"/>
                <w:b w:val="0"/>
                <w:i w:val="0"/>
                <w:sz w:val="16"/>
                <w:szCs w:val="16"/>
                <w:lang w:val="en-US" w:eastAsia="zh-CN"/>
              </w:rPr>
              <w:t>0.07 </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rFonts w:hint="eastAsia" w:eastAsia="SimSun"/>
          <w:sz w:val="20"/>
          <w:lang w:eastAsia="zh-CN"/>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m:rPr/>
        <w:rPr>
          <w:rFonts w:hint="eastAsia" w:hAnsi="Cambria Math" w:cs="Cambria Math"/>
          <w:i w:val="0"/>
          <w:sz w:val="20"/>
          <w:szCs w:val="20"/>
          <w:lang w:eastAsia="zh-CN"/>
        </w:rPr>
        <w:t>。</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5"/>
    </w:tbl>
    <w:p w14:paraId="0DA70F03">
      <w:pPr>
        <w:pStyle w:val="4"/>
        <w:numPr>
          <w:ilvl w:val="2"/>
          <w:numId w:val="0"/>
        </w:numPr>
        <w:snapToGrid w:val="0"/>
      </w:pPr>
      <w:bookmarkStart w:id="6" w:name="麦克纳姆轮运动学"/>
      <w:r>
        <w:t xml:space="preserve">3) 麦克纳姆轮运动学</w:t>
      </w:r>
      <w:r>
        <w:rPr>
          <w:rFonts w:hint="eastAsia"/>
        </w:rPr>
        <w:t xml:space="preserve"/>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Style w:val="10"/>
        <w:tblW w:w="476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40" w:type="dxa"/>
          <w:bottom w:w="0" w:type="dxa"/>
          <w:right w:w="40" w:type="dxa"/>
        </w:tblCellMar>
      </w:tblPr>
      <w:tblGrid>
        <w:gridCol w:w="2380"/>
        <w:gridCol w:w="2380"/>
      </w:tblGrid>
      <w:tr w14:paraId="3EC7A3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40" w:type="dxa"/>
            <w:bottom w:w="0" w:type="dxa"/>
            <w:right w:w="40" w:type="dxa"/>
          </w:tblCellMar>
        </w:tblPrEx>
        <w:trPr>
          <w:cantSplit/>
          <w:jc w:val="center"/>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39545" cy="467995"/>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8"/>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39545" cy="461010"/>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9"/>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ascii="Times New Roman" w:hAnsi="Times New Roman" w:eastAsia="宋体"/>
          <w:sz w:val="20"/>
          <w:szCs w:val="20"/>
        </w:rPr>
        <w:t xml:space="preserve">用 </w:t>
      </w:r>
      <m:oMath>
        <m:sSub>
          <m:e>
            <m:r>
              <m:rPr>
                <m:sty m:val="bi"/>
              </m:rPr>
              <w:rPr>
                <w:rFonts w:ascii="Cambria Math" w:hAnsi="Cambria Math" w:eastAsia="Cambria Math" w:cs="Cambria Math"/>
                <w:sz w:val="20"/>
                <w:szCs w:val="20"/>
              </w:rPr>
              <m:t>v</m:t>
            </m:r>
          </m:e>
          <m:sub>
            <m:r>
              <m:rPr>
                <m:sty m:val="i"/>
              </m:rPr>
              <w:rPr>
                <w:rFonts w:ascii="Cambria Math" w:hAnsi="Cambria Math" w:eastAsia="Cambria Math" w:cs="Cambria Math"/>
                <w:sz w:val="20"/>
                <w:szCs w:val="20"/>
              </w:rPr>
              <m:t>i</m:t>
            </m:r>
          </m:sub>
        </m:sSub>
      </m:oMath>
      <w:r>
        <w:rPr>
          <w:rFonts w:ascii="Times New Roman" w:hAnsi="Times New Roman" w:eastAsia="宋体"/>
          <w:sz w:val="20"/>
          <w:szCs w:val="20"/>
        </w:rPr>
        <w:t xml:space="preserve"> 表示第 i 个轮心相对惯性系的速度，其分量在机体系中表示。</w:t>
      </w: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式（8）保留了普通车轮的滚动项与辊子带来的侧向项。轮毂相对小腿的编码器速度与绝对自转速度还相差小腿绕轮轴的转速；腿部运动时应进行相应补偿。</w:t>
      </w:r>
    </w:p>
    <w:bookmarkEnd w:id="6"/>
    <w:p w14:paraId="5844043D">
      <w:pPr>
        <w:pStyle w:val="4"/>
        <w:numPr>
          <w:ilvl w:val="2"/>
          <w:numId w:val="0"/>
        </w:numPr>
        <w:snapToGrid w:val="0"/>
      </w:pPr>
      <w:bookmarkStart w:id="7" w:name="轮体动力学与足端力映射"/>
      <w:r>
        <w:t xml:space="preserve">4) 轮体动力学与足端力映射</w:t>
      </w:r>
      <w:r>
        <w:rPr>
          <w:rFonts w:hint="eastAsia"/>
        </w:rPr>
        <w:t xml:space="preserve"/>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10"/>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该表达式取轮轴方向投影；其余方向的约束力矩由轴承和机构承担。低速实现中忽略陀螺项，快速转动时则需考虑惯性耦合。</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rFonts w:ascii="Times New Roman" w:hAnsi="Times New Roman" w:eastAsia="宋体"/>
          <w:sz w:val="20"/>
          <w:szCs w:val="20"/>
        </w:rPr>
        <w:t xml:space="preserve"> 为轮体关于质心的惯性张量，</w:t>
      </w:r>
      <m:oMath>
        <m:sSub>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为轮体相对惯性系的角速度，</w:t>
      </w:r>
      <m:oMath>
        <m:sSub>
          <m:e>
            <m:acc>
              <m:accPr>
                <m:chr m:val="̇"/>
              </m:accPr>
              <m:e>
                <m:r>
                  <m:rPr>
                    <m:sty m:val="bi"/>
                  </m:rPr>
                  <w:rPr>
                    <w:rFonts w:ascii="Cambria Math" w:hAnsi="Cambria Math" w:eastAsia="Cambria Math" w:cs="Cambria Math"/>
                    <w:sz w:val="20"/>
                    <w:szCs w:val="20"/>
                  </w:rPr>
                  <m:t>ω</m:t>
                </m:r>
              </m:e>
            </m:acc>
          </m:e>
          <m:sub>
            <m:r>
              <m:rPr>
                <m:sty m:val="p"/>
              </m:rPr>
              <w:rPr>
                <w:rFonts w:ascii="Cambria Math" w:hAnsi="Cambria Math" w:eastAsia="Cambria Math" w:cs="Cambria Math"/>
                <w:sz w:val="20"/>
                <w:szCs w:val="20"/>
              </w:rPr>
              <m:t>w</m:t>
            </m:r>
          </m:sub>
        </m:sSub>
      </m:oMath>
      <w:r>
        <w:rPr>
          <w:rFonts w:ascii="Times New Roman" w:hAnsi="Times New Roman" w:eastAsia="宋体"/>
          <w:sz w:val="20"/>
          <w:szCs w:val="20"/>
        </w:rPr>
        <w:t xml:space="preserve"> 为角加速度；上述量均以同一坐标系的分量参与运算。</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7"/>
    <w:p w14:paraId="5DC355BB">
      <w:pPr>
        <w:pStyle w:val="4"/>
        <w:numPr>
          <w:ilvl w:val="2"/>
          <w:numId w:val="0"/>
        </w:numPr>
        <w:snapToGrid w:val="0"/>
      </w:pPr>
      <w:bookmarkStart w:id="8" w:name="整机单刚体动力学"/>
      <w:r>
        <w:t xml:space="preserve">5) 整机单刚体动力学</w:t>
      </w:r>
      <w:r>
        <w:rPr>
          <w:rFonts w:hint="eastAsia"/>
        </w:rPr>
        <w:t xml:space="preserve"/>
      </w:r>
    </w:p>
    <w:p w14:paraId="7686BD07">
      <w:pPr>
        <w:pStyle w:val="7"/>
        <w:numPr>
          <w:ilvl w:val="0"/>
          <w:numId w:val="0"/>
        </w:numPr>
        <w:snapToGrid w:val="0"/>
        <w:rPr>
          <w:sz w:val="20"/>
        </w:rPr>
      </w:pPr>
      <w:r>
        <w:rPr>
          <w:rFonts w:hint="eastAsia"/>
          <w:sz w:val="20"/>
          <w:szCs w:val="20"/>
        </w:rPr>
        <w:t>将</w:t>
      </w:r>
      <w:r>
        <w:rPr>
          <w:rFonts w:hint="eastAsia"/>
          <w:sz w:val="20"/>
          <w:szCs w:val="20"/>
          <w:lang w:eastAsia="zh-CN"/>
        </w:rPr>
        <w:t>底盘与机械臂</w:t>
      </w:r>
      <w:r>
        <w:rPr>
          <w:rFonts w:hint="eastAsia"/>
          <w:sz w:val="20"/>
          <w:szCs w:val="20"/>
        </w:rPr>
        <w:t>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11"/>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ascii="Times New Roman" w:hAnsi="Times New Roman" w:eastAsia="宋体"/>
          <w:sz w:val="20"/>
          <w:szCs w:val="20"/>
        </w:rPr>
        <w:t xml:space="preserve">将整机动力学方程统一写在惯性系下。</w:t>
      </w:r>
      <m:oMath>
        <m:r>
          <m:rPr>
            <m:sty m:val="bi"/>
          </m:rPr>
          <w:rPr>
            <w:rFonts w:ascii="Cambria Math" w:hAnsi="Cambria Math" w:eastAsia="Cambria Math" w:cs="Cambria Math"/>
            <w:sz w:val="20"/>
            <w:szCs w:val="20"/>
          </w:rPr>
          <m:t>ω</m:t>
        </m:r>
      </m:oMath>
      <w:r>
        <w:rPr>
          <w:rFonts w:ascii="Times New Roman" w:hAnsi="Times New Roman" w:eastAsia="宋体"/>
          <w:sz w:val="20"/>
          <w:szCs w:val="20"/>
        </w:rPr>
        <w:t xml:space="preserve"> 为机身角速度，</w:t>
      </w:r>
      <m:oMath>
        <m:acc>
          <m:accPr>
            <m:chr m:val="̇"/>
          </m:accPr>
          <m:e>
            <m:r>
              <m:rPr>
                <m:sty m:val="bi"/>
              </m:rPr>
              <w:rPr>
                <w:rFonts w:ascii="Cambria Math" w:hAnsi="Cambria Math" w:eastAsia="Cambria Math" w:cs="Cambria Math"/>
                <w:sz w:val="20"/>
                <w:szCs w:val="20"/>
              </w:rPr>
              <m:t>ω</m:t>
            </m:r>
          </m:e>
        </m:acc>
      </m:oMath>
      <w:r>
        <w:rPr>
          <w:rFonts w:ascii="Times New Roman" w:hAnsi="Times New Roman" w:eastAsia="宋体"/>
          <w:sz w:val="20"/>
          <w:szCs w:val="20"/>
        </w:rPr>
        <w:t xml:space="preserve"> 为角加速度，</w:t>
      </w:r>
      <m:oMath>
        <m:sSub>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ascii="Times New Roman" w:hAnsi="Times New Roman" w:eastAsia="宋体"/>
          <w:sz w:val="20"/>
          <w:szCs w:val="20"/>
        </w:rPr>
        <w:t xml:space="preserve"> 为以机体系分量表示的整机质心惯性张量。惯性张量变换为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ascii="Times New Roman" w:hAnsi="Times New Roman" w:eastAsia="宋体"/>
          <w:sz w:val="20"/>
          <w:szCs w:val="20"/>
        </w:rPr>
        <w:t xml:space="preserve">。令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w:t>
      </w:r>
      <w:r>
        <w:rPr>
          <w:rFonts w:hint="eastAsia"/>
          <w:sz w:val="20"/>
          <w:szCs w:val="20"/>
          <w:lang w:eastAsia="zh-CN"/>
        </w:rPr>
        <w:t>在</w:t>
      </w:r>
      <w:r>
        <w:rPr>
          <w:rFonts w:hint="eastAsia"/>
          <w:sz w:val="20"/>
          <w:szCs w:val="20"/>
        </w:rPr>
        <w:t>姿态变化</w:t>
      </w:r>
      <w:r>
        <w:rPr>
          <w:rFonts w:hint="eastAsia"/>
          <w:sz w:val="20"/>
          <w:szCs w:val="20"/>
          <w:lang w:eastAsia="zh-CN"/>
        </w:rPr>
        <w:t>不</w:t>
      </w:r>
      <w:r>
        <w:rPr>
          <w:rFonts w:hint="eastAsia"/>
          <w:sz w:val="20"/>
          <w:szCs w:val="20"/>
        </w:rPr>
        <w:t>明显</w:t>
      </w:r>
      <w:r>
        <w:rPr>
          <w:rFonts w:hint="eastAsia"/>
          <w:sz w:val="20"/>
          <w:szCs w:val="20"/>
          <w:lang w:eastAsia="zh-CN"/>
        </w:rPr>
        <w:t>且</w:t>
      </w:r>
      <w:r>
        <w:rPr>
          <w:rFonts w:hint="eastAsia"/>
          <w:sz w:val="20"/>
          <w:szCs w:val="20"/>
        </w:rPr>
        <w:t>机械臂</w:t>
      </w:r>
      <w:r>
        <w:rPr>
          <w:rFonts w:hint="eastAsia"/>
          <w:sz w:val="20"/>
          <w:szCs w:val="20"/>
          <w:lang w:eastAsia="zh-CN"/>
        </w:rPr>
        <w:t>相对底盘基本静止</w:t>
      </w:r>
      <w:r>
        <w:rPr>
          <w:rFonts w:hint="eastAsia"/>
          <w:sz w:val="20"/>
          <w:szCs w:val="20"/>
        </w:rPr>
        <w:t>时，</w:t>
      </w:r>
      <w:r>
        <w:rPr>
          <w:rFonts w:hint="eastAsia"/>
          <w:sz w:val="20"/>
          <w:szCs w:val="20"/>
          <w:lang w:eastAsia="zh-CN"/>
        </w:rPr>
        <w:t>此</w:t>
      </w:r>
      <w:r>
        <w:rPr>
          <w:rFonts w:hint="eastAsia"/>
          <w:sz w:val="20"/>
          <w:szCs w:val="20"/>
        </w:rPr>
        <w:t>近似</w:t>
      </w:r>
      <w:r>
        <w:rPr>
          <w:rFonts w:hint="eastAsia"/>
          <w:sz w:val="20"/>
          <w:szCs w:val="20"/>
          <w:lang w:eastAsia="zh-CN"/>
        </w:rPr>
        <w:t>精度较高</w:t>
      </w:r>
      <w:r>
        <w:rPr>
          <w:rFonts w:hint="eastAsia"/>
          <w:sz w:val="20"/>
          <w:szCs w:val="20"/>
        </w:rPr>
        <w:t>。</w:t>
      </w:r>
      <w:r>
        <w:rPr>
          <w:rFonts w:hint="eastAsia"/>
          <w:sz w:val="20"/>
          <w:szCs w:val="20"/>
          <w:lang w:eastAsia="zh-CN"/>
        </w:rPr>
        <w:t>足端力的</w:t>
      </w:r>
      <w:r>
        <w:rPr>
          <w:rFonts w:hint="eastAsia"/>
          <w:sz w:val="20"/>
          <w:szCs w:val="20"/>
        </w:rPr>
        <w:t>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8"/>
    <w:p w14:paraId="1F9BE2B0">
      <w:pPr>
        <w:pStyle w:val="4"/>
        <w:numPr>
          <w:ilvl w:val="2"/>
          <w:numId w:val="0"/>
        </w:numPr>
        <w:snapToGrid w:val="0"/>
      </w:pPr>
      <w:bookmarkStart w:id="9" w:name="姿态控制器"/>
      <w:r>
        <w:t xml:space="preserve">6) 姿态控制器</w:t>
      </w:r>
      <w:r>
        <w:rPr>
          <w:rFonts w:hint="eastAsia"/>
        </w:rPr>
        <w:t xml:space="preserve"/>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rFonts w:hint="eastAsia" w:eastAsia="SimSun"/>
          <w:sz w:val="20"/>
          <w:lang w:eastAsia="zh-CN"/>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2"/>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底盘姿态控制器闭环方框图。滚转与俯仰分别采用式（18）的双环 P 控制及高度增量累加，两轴修正量经式（19）共同分配至四腿；关节伺服内环合并表示。</w:t>
      </w:r>
    </w:p>
    <w:bookmarkEnd w:id="4"/>
    <w:bookmarkEnd w:id="9"/>
    <w:p w14:paraId="3E18FD99">
      <w:pPr>
        <w:pStyle w:val="3"/>
        <w:numPr>
          <w:ilvl w:val="1"/>
          <w:numId w:val="0"/>
        </w:numPr>
        <w:snapToGrid w:val="0"/>
      </w:pPr>
      <w:bookmarkStart w:id="10"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3"/>
                    <a:stretch>
                      <a:fillRect/>
                    </a:stretch>
                  </pic:blipFill>
                  <pic:spPr>
                    <a:xfrm>
                      <a:off x="0" y="0"/>
                      <a:ext cx="3060000" cy="1020000"/>
                    </a:xfrm>
                    <a:prstGeom prst="rect">
                      <a:avLst/>
                    </a:prstGeom>
                  </pic:spPr>
                </pic:pic>
              </a:graphicData>
            </a:graphic>
          </wp:inline>
        </w:drawing>
      </w:r>
    </w:p>
    <w:p w14:paraId="6F108002">
      <w:pPr>
        <w:keepNext/>
        <w:keepLines/>
        <w:numPr>
          <w:ilvl w:val="0"/>
          <w:numId w:val="0"/>
        </w:numPr>
        <w:snapToGrid w:val="0"/>
        <w:spacing w:before="0" w:after="60"/>
        <w:ind w:left="0" w:right="0" w:firstLine="0"/>
        <w:jc w:val="center"/>
      </w:pPr>
      <w:r>
        <w:rPr>
          <w:rFonts w:ascii="Times New Roman" w:hAnsi="Times New Roman"/>
          <w:sz w:val="18"/>
          <w:szCs w:val="18"/>
        </w:rPr>
        <w:t xml:space="preserve">(a) Physical view</w:t>
      </w:r>
    </w:p>
    <w:p w14:paraId="6F108003">
      <w:pPr>
        <w:keepNext/>
        <w:keepLines/>
        <w:numPr>
          <w:ilvl w:val="0"/>
          <w:numId w:val="0"/>
        </w:numPr>
        <w:snapToGrid w:val="0"/>
        <w:spacing w:before="60" w:after="60" w:line="240" w:lineRule="auto"/>
        <w:ind w:left="0" w:right="0" w:firstLine="0"/>
        <w:jc w:val="center"/>
      </w:pPr>
      <w:r>
        <w:drawing>
          <wp:inline distT="0" distB="0" distL="0" distR="0">
            <wp:extent cx="3059430" cy="1520256"/>
            <wp:effectExtent l="0" t="0" r="7620" b="8890"/>
            <wp:docPr id="34" name="Fig. 8(b)" descr="Arm joint coordinate frames and link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Fig. 8(b)" descr="Arm joint coordinate frames and link dimensions"/>
                    <pic:cNvPicPr>
                      <a:picLocks noChangeAspect="1"/>
                    </pic:cNvPicPr>
                  </pic:nvPicPr>
                  <pic:blipFill>
                    <a:blip r:embed="rId18"/>
                    <a:stretch>
                      <a:fillRect/>
                    </a:stretch>
                  </pic:blipFill>
                  <pic:spPr>
                    <a:xfrm>
                      <a:off x="0" y="0"/>
                      <a:ext cx="3059430" cy="1520256"/>
                    </a:xfrm>
                    <a:prstGeom prst="rect">
                      <a:avLst/>
                    </a:prstGeom>
                  </pic:spPr>
                </pic:pic>
              </a:graphicData>
            </a:graphic>
          </wp:inline>
        </w:drawing>
      </w:r>
    </w:p>
    <w:p w14:paraId="6F108004">
      <w:pPr>
        <w:keepNext/>
        <w:keepLines/>
        <w:numPr>
          <w:ilvl w:val="0"/>
          <w:numId w:val="0"/>
        </w:numPr>
        <w:snapToGrid w:val="0"/>
        <w:spacing w:before="0" w:after="60"/>
        <w:ind w:left="0" w:right="0" w:firstLine="0"/>
        <w:jc w:val="center"/>
      </w:pPr>
      <w:r>
        <w:rPr>
          <w:rFonts w:ascii="Times New Roman" w:hAnsi="Times New Roman"/>
          <w:sz w:val="18"/>
          <w:szCs w:val="18"/>
        </w:rPr>
        <w:t xml:space="preserve">(b) Joint coordinate frames</w:t>
      </w:r>
    </w:p>
    <w:p w14:paraId="1428A8F6">
      <w:pPr>
        <w:pStyle w:val="18"/>
        <w:numPr>
          <w:ilvl w:val="0"/>
          <w:numId w:val="0"/>
        </w:numPr>
        <w:snapToGrid w:val="0"/>
      </w:pPr>
      <w:r>
        <w:rPr>
          <w:iCs/>
        </w:rPr>
        <w:t xml:space="preserve">Fig. 8. 六轴机械臂关节坐标系。（a）侧视图上的坐标系对应位置。（b）关节坐标系与连杆尺寸定义。坐标系 2、3 的原点重合，坐标系 4、5 的原点重合。</w:t>
      </w:r>
      <w:r>
        <w:rPr>
          <w:rFonts w:hint="eastAsia"/>
          <w:iCs/>
        </w:rPr>
        <w:t xml:space="preserve"/>
      </w:r>
      <w:r>
        <w:rPr>
          <w:rFonts w:hint="eastAsia"/>
          <w:iCs/>
          <w:lang w:eastAsia="zh-CN"/>
        </w:rPr>
        <w:t xml:space="preserve"/>
      </w:r>
      <w:r>
        <w:rPr>
          <w:rFonts w:hint="eastAsia"/>
          <w:iCs/>
        </w:rPr>
        <w:t xml:space="preserve"/>
      </w:r>
    </w:p>
    <w:p w14:paraId="6F10C801">
      <w:pPr>
        <w:pStyle w:val="7"/>
        <w:numPr>
          <w:ilvl w:val="0"/>
          <w:numId w:val="0"/>
        </w:numPr>
        <w:snapToGrid w:val="0"/>
        <w:rPr>
          <w:sz w:val="20"/>
        </w:rPr>
      </w:pPr>
      <w:r>
        <w:rPr>
          <w:rFonts w:ascii="Times New Roman" w:hAnsi="Times New Roman" w:eastAsia="宋体"/>
          <w:sz w:val="20"/>
          <w:szCs w:val="20"/>
        </w:rPr>
        <w:t xml:space="preserve">关节角记为 </w:t>
      </w:r>
      <m:oMath>
        <m:sSub>
          <m:e>
            <m:r>
              <m:rPr>
                <m:sty m:val="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m:sty m:val="i"/>
              </m:rPr>
              <w:rPr>
                <w:rFonts w:ascii="Cambria Math" w:hAnsi="Cambria Math" w:eastAsia="Cambria Math" w:cs="Cambria Math"/>
                <w:sz w:val="20"/>
                <w:szCs w:val="20"/>
              </w:rPr>
              <m:t>j</m:t>
            </m:r>
          </m:sub>
        </m:sSub>
      </m:oMath>
      <w:r>
        <w:rPr>
          <w:rFonts w:ascii="Times New Roman" w:hAnsi="Times New Roman" w:eastAsia="宋体"/>
          <w:sz w:val="20"/>
          <w:szCs w:val="20"/>
        </w:rPr>
        <w:t xml:space="preserve">（</w:t>
      </w:r>
      <m:oMath>
        <m:r>
          <m:rPr>
            <m:sty m:val="i"/>
          </m:rPr>
          <w:rPr>
            <w:rFonts w:ascii="Cambria Math" w:hAnsi="Cambria Math" w:eastAsia="Cambria Math" w:cs="Cambria Math"/>
            <w:sz w:val="20"/>
            <w:szCs w:val="20"/>
          </w:rPr>
          <m:t>j</m:t>
        </m:r>
        <m:r>
          <m:rPr>
            <m:sty m:val="p"/>
          </m:rPr>
          <w:rPr>
            <w:rFonts w:ascii="Cambria Math" w:hAnsi="Cambria Math" w:eastAsia="Cambria Math" w:cs="Cambria Math"/>
            <w:sz w:val="20"/>
            <w:szCs w:val="20"/>
          </w:rPr>
          <m:t>=1,…,6</m:t>
        </m:r>
      </m:oMath>
      <w:r>
        <w:rPr>
          <w:rFonts w:ascii="Times New Roman" w:hAnsi="Times New Roman" w:eastAsia="宋体"/>
          <w:sz w:val="20"/>
          <w:szCs w:val="20"/>
        </w:rPr>
        <w:t xml:space="preserve">），末端位置和姿态均相对于基坐标系 {0} 表示。</w:t>
      </w:r>
      <m:oMath>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ascii="Times New Roman" w:hAnsi="Times New Roman" w:eastAsia="宋体"/>
          <w:sz w:val="20"/>
          <w:szCs w:val="20"/>
        </w:rPr>
        <w:t xml:space="preserve"> 为沿第三坐标系 z 轴从其原点至腕心的距离。</w:t>
      </w:r>
    </w:p>
    <w:p w14:paraId="2743674C">
      <w:pPr>
        <w:pStyle w:val="7"/>
        <w:numPr>
          <w:ilvl w:val="0"/>
          <w:numId w:val="0"/>
        </w:numPr>
        <w:snapToGrid w:val="0"/>
        <w:rPr>
          <w:sz w:val="20"/>
        </w:rPr>
      </w:pPr>
      <w:r>
        <w:rPr>
          <w:rFonts w:hint="eastAsia"/>
          <w:sz w:val="20"/>
          <w:szCs w:val="20"/>
          <w:lang w:eastAsia="zh-CN"/>
        </w:rPr>
        <w:t>将坐标系 4、5 的重合原点定义为腕心，</w:t>
      </w:r>
      <w:r>
        <w:rPr>
          <w:rFonts w:hint="eastAsia"/>
          <w:sz w:val="20"/>
          <w:szCs w:val="20"/>
          <w:lang w:val="en-US" w:eastAsia="zh-CN"/>
        </w:rPr>
        <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4</m:t>
            </m:r>
          </m:sub>
        </m:sSub>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，由平面三角形余弦定理，正对高臂分支为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rFonts w:hint="eastAsia" w:eastAsia="SimSun"/>
          <w:sz w:val="20"/>
          <w:lang w:eastAsia="zh-CN"/>
        </w:rPr>
      </w:pPr>
      <w:r>
        <w:rPr>
          <w:rFonts w:hint="eastAsia"/>
          <w:sz w:val="20"/>
          <w:szCs w:val="20"/>
        </w:rPr>
        <w:t>对候选解进行位姿回代及关节限位检查，选择与上一时刻关节角最接近的可行分支</w:t>
      </w:r>
      <w:r>
        <w:rPr>
          <w:rFonts w:hint="eastAsia"/>
          <w:sz w:val="20"/>
          <w:szCs w:val="20"/>
          <w:lang w:eastAsia="zh-CN"/>
        </w:rPr>
        <w:t>。</w:t>
      </w:r>
    </w:p>
    <w:bookmarkEnd w:id="10"/>
    <w:p w14:paraId="5216BD38">
      <w:pPr>
        <w:pStyle w:val="3"/>
        <w:numPr>
          <w:ilvl w:val="1"/>
          <w:numId w:val="0"/>
        </w:numPr>
        <w:snapToGrid w:val="0"/>
      </w:pPr>
      <w:bookmarkStart w:id="11" w:name="d.-delta-遥操作控制器"/>
      <w:r>
        <w:t xml:space="preserve">D. Delta </w:t>
      </w:r>
      <w:r>
        <w:rPr>
          <w:rFonts w:hint="eastAsia"/>
        </w:rPr>
        <w:t>遥操作控制器</w:t>
      </w:r>
    </w:p>
    <w:p w14:paraId="272A16D0">
      <w:pPr>
        <w:pStyle w:val="4"/>
        <w:numPr>
          <w:ilvl w:val="2"/>
          <w:numId w:val="0"/>
        </w:numPr>
        <w:snapToGrid w:val="0"/>
      </w:pPr>
      <w:bookmarkStart w:id="12"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w:t>
      </w:r>
      <w:r>
        <w:rPr>
          <w:rFonts w:hint="eastAsia"/>
          <w:sz w:val="20"/>
          <w:szCs w:val="20"/>
          <w:lang w:eastAsia="zh-CN"/>
        </w:rPr>
        <w:t>三维</w:t>
      </w:r>
      <w:r>
        <w:rPr>
          <w:rFonts w:hint="eastAsia"/>
          <w:sz w:val="20"/>
          <w:szCs w:val="20"/>
        </w:rPr>
        <w:t>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4"/>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59635" cy="5554345"/>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5"/>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[1]）</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ascii="Times New Roman" w:hAnsi="Times New Roman" w:eastAsia="宋体"/>
          <w:sz w:val="20"/>
          <w:szCs w:val="20"/>
        </w:rPr>
        <w:t xml:space="preserve">记 </w:t>
      </w:r>
      <m:oMath>
        <m:sSub>
          <m:e>
            <m:r>
              <m:rPr>
                <m:sty m:val="b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1,yz</m:t>
            </m:r>
          </m:sub>
        </m:sSub>
        <m:r>
          <m:rPr>
            <m:sty m:val="p"/>
          </m:rPr>
          <w:rPr>
            <w:rFonts w:ascii="Cambria Math" w:hAnsi="Cambria Math" w:eastAsia="Cambria Math" w:cs="Cambria Math"/>
            <w:sz w:val="20"/>
            <w:szCs w:val="20"/>
          </w:rPr>
          <m:t>=</m:t>
        </m:r>
        <m:sSup>
          <m:e>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1y</m:t>
                </m:r>
              </m:sub>
            </m:sSub>
            <m:r>
              <m:rPr>
                <m:sty m:val="p"/>
              </m:rPr>
              <w:rPr>
                <w:rFonts w:ascii="Cambria Math" w:hAnsi="Cambria Math" w:eastAsia="Cambria Math" w:cs="Cambria Math"/>
                <w:sz w:val="20"/>
                <w:szCs w:val="20"/>
              </w:rPr>
              <m:t>,</m:t>
            </m:r>
            <m:sSub>
              <m:e>
                <m:r>
                  <m:rPr>
                    <m:sty m:val="i"/>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1z</m:t>
                </m:r>
              </m:sub>
            </m:sSub>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ascii="Times New Roman" w:hAnsi="Times New Roman" w:eastAsia="宋体"/>
          <w:sz w:val="20"/>
          <w:szCs w:val="20"/>
        </w:rPr>
        <w:t xml:space="preserve">，代回第一球面，得到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ascii="Times New Roman" w:hAnsi="Times New Roman" w:eastAsia="宋体"/>
          <w:sz w:val="20"/>
          <w:szCs w:val="20"/>
        </w:rPr>
        <w:t xml:space="preserve">，其中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从二次方程候选根中</w:t>
      </w:r>
      <w:r>
        <w:rPr>
          <w:rFonts w:hint="eastAsia"/>
          <w:sz w:val="20"/>
          <w:szCs w:val="20"/>
        </w:rPr>
        <w:t>选择满足工作侧、机构装配分支和连续性条件的根。</w:t>
      </w:r>
    </w:p>
    <w:bookmarkEnd w:id="12"/>
    <w:p w14:paraId="01EF466D">
      <w:pPr>
        <w:pStyle w:val="4"/>
        <w:numPr>
          <w:ilvl w:val="2"/>
          <w:numId w:val="0"/>
        </w:numPr>
        <w:snapToGrid w:val="0"/>
      </w:pPr>
      <w:bookmarkStart w:id="13" w:name="雅可比与力矩前馈"/>
      <w:r>
        <w:t xml:space="preserve">2) </w:t>
      </w:r>
      <w:r>
        <w:rPr>
          <w:rFonts w:hint="eastAsia"/>
        </w:rPr>
        <w:t>雅可比与力矩前馈</w:t>
      </w:r>
    </w:p>
    <w:p w14:paraId="79ABCD24">
      <w:pPr>
        <w:pStyle w:val="7"/>
        <w:numPr>
          <w:ilvl w:val="0"/>
          <w:numId w:val="0"/>
        </w:numPr>
        <w:snapToGrid w:val="0"/>
        <w:rPr>
          <w:rFonts w:hint="default" w:eastAsia="SimSun"/>
          <w:sz w:val="20"/>
          <w:szCs w:val="20"/>
          <w:lang w:val="en-US" w:eastAsia="zh-CN"/>
        </w:rPr>
      </w:pPr>
      <w:r>
        <w:rPr>
          <w:rFonts w:hint="eastAsia"/>
          <w:sz w:val="20"/>
          <w:szCs w:val="20"/>
          <w:lang w:eastAsia="zh-CN"/>
        </w:rPr>
        <w:t>为降低操作员的手部施力负担并改善操作精度，遥操作控制器通过 Delta 机构的三个主动关节施加前馈力矩，补偿机构自重的部分影响。</w:t>
      </w:r>
      <w:r>
        <w:rPr>
          <w:rFonts w:hint="eastAsia"/>
          <w:sz w:val="20"/>
          <w:szCs w:val="20"/>
          <w:lang w:val="en-US" w:eastAsia="zh-CN"/>
        </w:rPr>
        <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rFonts w:hint="eastAsia" w:eastAsia="SimSun"/>
          <w:sz w:val="20"/>
          <w:lang w:eastAsia="zh-CN"/>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r>
        <w:rPr>
          <w:rFonts w:hint="eastAsia"/>
          <w:sz w:val="20"/>
          <w:szCs w:val="20"/>
          <w:lang w:eastAsia="zh-CN"/>
        </w:rPr>
        <w:t>。</w:t>
      </w:r>
    </w:p>
    <w:bookmarkEnd w:id="13"/>
    <w:p w14:paraId="4E78815B">
      <w:pPr>
        <w:pStyle w:val="4"/>
        <w:numPr>
          <w:ilvl w:val="2"/>
          <w:numId w:val="0"/>
        </w:numPr>
        <w:snapToGrid w:val="0"/>
      </w:pPr>
      <w:bookmarkStart w:id="14"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r>
        <w:rPr>
          <w:rFonts w:ascii="Times New Roman" w:hAnsi="Times New Roman" w:eastAsia="宋体"/>
          <w:sz w:val="20"/>
          <w:szCs w:val="20"/>
        </w:rPr>
        <w:t xml:space="preserve">其中，</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x</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y</m:t>
            </m:r>
          </m:sub>
        </m:sSub>
      </m:oMath>
      <w:r>
        <w:rPr>
          <w:rFonts w:ascii="Times New Roman" w:hAnsi="Times New Roman" w:eastAsia="宋体"/>
          <w:sz w:val="20"/>
          <w:szCs w:val="20"/>
        </w:rPr>
        <w:t xml:space="preserve">、</w:t>
      </w:r>
      <m:oMath>
        <m:sSub>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z</m:t>
            </m:r>
          </m:sub>
        </m:sSub>
      </m:oMath>
      <w:r>
        <w:rPr>
          <w:rFonts w:ascii="Times New Roman" w:hAnsi="Times New Roman" w:eastAsia="宋体"/>
          <w:sz w:val="20"/>
          <w:szCs w:val="20"/>
        </w:rPr>
        <w:t xml:space="preserve"> 分别为绕相应坐标轴的右手基本旋转矩阵。</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bookmarkStart w:id="18" w:name="_GoBack"/>
      <w:bookmarkEnd w:id="18"/>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w:t>
      </w:r>
    </w:p>
    <w:bookmarkEnd w:id="2"/>
    <w:bookmarkEnd w:id="11"/>
    <w:bookmarkEnd w:id="14"/>
    <w:p w14:paraId="3A278C2B">
      <w:pPr>
        <w:pStyle w:val="2"/>
        <w:numPr>
          <w:ilvl w:val="0"/>
          <w:numId w:val="0"/>
        </w:numPr>
        <w:snapToGrid w:val="0"/>
      </w:pPr>
      <w:bookmarkStart w:id="15" w:name="v.-结论conclusion"/>
      <w:r>
        <w:t>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本文形成了底盘移动与姿态控制、机械臂逆运动学及主从位姿映射相结合的控制流程。整机能耗、末端定位精度及重复任务成功率仍需定量评估。后续将完善带物理约束的接触力分配与主从标定，统一仿真和实机测试条件，并通过重复任务试验评价该方案的效率、精度和适用范围。</w:t>
      </w:r>
    </w:p>
    <w:bookmarkEnd w:id="15"/>
    <w:p w14:paraId="7FEF48C1">
      <w:pPr>
        <w:pStyle w:val="6"/>
        <w:keepNext/>
        <w:numPr>
          <w:ilvl w:val="0"/>
          <w:numId w:val="0"/>
        </w:numPr>
        <w:snapToGrid w:val="0"/>
      </w:pPr>
      <w:bookmarkStart w:id="16"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16"/>
    <w:p w14:paraId="07FDE488">
      <w:pPr>
        <w:pStyle w:val="6"/>
        <w:keepNext/>
        <w:numPr>
          <w:ilvl w:val="0"/>
          <w:numId w:val="0"/>
        </w:numPr>
        <w:snapToGrid w:val="0"/>
      </w:pPr>
      <w:bookmarkStart w:id="17" w:name="参考文献references"/>
      <w:r>
        <w:rPr>
          <w:rFonts w:hint="eastAsia"/>
        </w:rPr>
        <w:t>参考文献（References）</w:t>
      </w:r>
    </w:p>
    <w:p w14:paraId="4260D61B">
      <w:pPr>
        <w:pStyle w:val="22"/>
        <w:numPr>
          <w:ilvl w:val="0"/>
          <w:numId w:val="0"/>
        </w:numPr>
        <w:snapToGrid w:val="0"/>
      </w:pPr>
      <w:r>
        <w:t xml:space="preserve">[1] </w:t>
      </w:r>
      <w:r>
        <w:rPr>
          <w:rFonts w:hint="eastAsia"/>
        </w:rPr>
        <w:t>“机械部分，”项目机械设计资料，未正式出版，作者与成稿日期待确认，仓库文件：机械部分.docx。</w:t>
      </w:r>
    </w:p>
    <w:bookmarkEnd w:id="0"/>
    <w:bookmarkEnd w:id="17"/>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15B381E1"/>
    <w:rsid w:val="47FBC7DB"/>
    <w:rsid w:val="677EF307"/>
    <w:rsid w:val="6EFF9550"/>
    <w:rsid w:val="7CFFB4DD"/>
    <w:rsid w:val="7D7BC468"/>
    <w:rsid w:val="7DB3EA36"/>
    <w:rsid w:val="7DB9D918"/>
    <w:rsid w:val="7DDBEB2D"/>
    <w:rsid w:val="7F7C0272"/>
    <w:rsid w:val="7FFB82DC"/>
    <w:rsid w:val="7FFD2014"/>
    <w:rsid w:val="7FFE82C9"/>
    <w:rsid w:val="B31DD456"/>
    <w:rsid w:val="BBFFEEA7"/>
    <w:rsid w:val="C7EFD916"/>
    <w:rsid w:val="D1E9525F"/>
    <w:rsid w:val="DE3FEC34"/>
    <w:rsid w:val="F7FB23B8"/>
    <w:rsid w:val="FFAEC6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8" Type="http://schemas.openxmlformats.org/officeDocument/2006/relationships/image" Target="media/arm_joint_frames_correcte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133</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2026-10-08T18:20:00Z</dcterms:created>
  <dc:creator>赵苏亚</dc:creator>
  <cp:lastModifiedBy>赵苏亚</cp:lastModifiedBy>
  <dcterms:modified xsi:type="dcterms:W3CDTF">2026-10-07T19:03:22Z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