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嵌入式实现提供依据。</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1B8FE646">
      <w:pPr>
        <w:pStyle w:val="2"/>
        <w:numPr>
          <w:ilvl w:val="0"/>
          <w:numId w:val="0"/>
        </w:numPr>
        <w:snapToGrid w:val="0"/>
      </w:pPr>
      <w:bookmarkStart w:id="2" w:name="iii.-提出的方法proposed-method"/>
      <w:r>
        <w:t>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sz w:val="20"/>
        </w:rPr>
      </w:pPr>
      <w:r>
        <w:rPr>
          <w:rFonts w:hint="eastAsia"/>
          <w:sz w:val="20"/>
          <w:szCs w:val="20"/>
        </w:rPr>
        <w:t>底盘采用四轮足构型，每条腿由两个俯仰关节和一个麦克纳姆轮驱动自由度组成。腿部关节调节支撑高度和机身姿态，四个车轮配合实现平面全向运动。基座由碳纤维方管、铝方管、板材及连接件构成分层框架；每条腿的两路关节驱动集中在髋部，并利用平行四边形机构传递膝部运动，以减小小腿运动时的惯性负担 [1]。</w:t>
      </w:r>
    </w:p>
    <w:p w14:paraId="6F10A102">
      <w:pPr>
        <w:pStyle w:val="7"/>
        <w:numPr>
          <w:ilvl w:val="0"/>
          <w:numId w:val="0"/>
        </w:numPr>
        <w:snapToGrid w:val="0"/>
        <w:rPr>
          <w:sz w:val="20"/>
        </w:rPr>
      </w:pPr>
      <w:r>
        <w:rPr>
          <w:rFonts w:hint="eastAsia"/>
          <w:sz w:val="20"/>
          <w:szCs w:val="20"/>
        </w:rPr>
        <w:t>机械臂模块安装于底盘上方，由六轴串联机械臂和夹爪组成。机械臂采用肘式臂与球腕结构，前三个关节主要确定腕心位置，后三个关节确定末端姿态；夹爪的开合自由度用于抓取。机械臂连杆采用碳纤维板与铝制加工件，夹爪采用连杆与滑轨机构 [1]。</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并联机构测量三维位置，以安装在动平台上的三编码器手柄测量姿态。平行四边形从动臂使动平台始终与静平台保持平行，将平移输入与姿态输入分离；手柄从 j1 到 j3 依次对应动轴 roll、pitch、yaw。主手通过正运动学获得位置和姿态，并经无线链路向作为从手的机械臂发送位姿指令；主手的力矩前馈用于补偿自身重力，减轻静态持握负担。</w:t>
      </w:r>
    </w:p>
    <w:p w14:paraId="6F100001">
      <w:pPr>
        <w:keepNext/>
        <w:keepLines/>
        <w:numPr>
          <w:ilvl w:val="0"/>
          <w:numId w:val="0"/>
        </w:numPr>
        <w:snapToGrid w:val="0"/>
        <w:spacing w:before="60" w:after="60" w:line="240" w:lineRule="auto"/>
        <w:ind w:left="0" w:right="0" w:firstLine="0"/>
        <w:jc w:val="center"/>
      </w:pPr>
      <w:r>
        <w:drawing>
          <wp:inline distT="0" distB="0" distL="0" distR="0">
            <wp:extent cx="3059430" cy="3126105"/>
            <wp:effectExtent l="0" t="0" r="7620" b="762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tretch>
                      <a:fillRect/>
                    </a:stretch>
                  </pic:blipFill>
                  <pic:spPr>
                    <a:xfrm>
                      <a:off x="0" y="0"/>
                      <a:ext cx="3060000" cy="3126575"/>
                    </a:xfrm>
                    <a:prstGeom prst="rect">
                      <a:avLst/>
                    </a:prstGeom>
                  </pic:spPr>
                </pic:pic>
              </a:graphicData>
            </a:graphic>
          </wp:inline>
        </w:drawing>
      </w:r>
    </w:p>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ilvl w:val="0"/>
          <w:numId w:val="0"/>
        </w:numPr>
        <w:snapToGrid w:val="0"/>
        <w:spacing w:before="60" w:after="60" w:line="240" w:lineRule="auto"/>
        <w:ind w:left="0" w:right="0" w:firstLine="0"/>
        <w:jc w:val="center"/>
      </w:pPr>
      <w:r>
        <w:drawing>
          <wp:inline distT="0" distB="0" distL="0" distR="0">
            <wp:extent cx="3059430" cy="3877945"/>
            <wp:effectExtent l="0" t="0" r="7620" b="8255"/>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3060000" cy="3878564"/>
                    </a:xfrm>
                    <a:prstGeom prst="rect">
                      <a:avLst/>
                    </a:prstGeom>
                  </pic:spPr>
                </pic:pic>
              </a:graphicData>
            </a:graphic>
          </wp:inline>
        </w:drawing>
      </w:r>
    </w:p>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 P 控制器根据 IMU 反馈产生等效腿长增量，经累加、腿高分配和腿部逆运动学得到目标关节角，再由单关节位置—速度串级 PID 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Delta 静平台，原点位于静平台中心，轴向按 I-D 节定义。上述坐标系均采用右手约定，主手位姿须经坐标变换后用于从端逆运动学。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采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0.7</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SimSun"/>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m:rP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式（8）保留了普通车轮的滚动项与辊子带来的侧向项。轮毂相对小腿的编码器速度与绝对自转速度还相差小腿绕轮轴的转速；腿部运动时应进行相应补偿。</w:t>
      </w:r>
    </w:p>
    <w:bookmarkEnd w:id="6"/>
    <w:p w14:paraId="5844043D">
      <w:pPr>
        <w:pStyle w:val="4"/>
        <w:numPr>
          <w:ilvl w:val="2"/>
          <w:numId w:val="0"/>
        </w:numPr>
        <w:snapToGrid w:val="0"/>
      </w:pPr>
      <w:bookmarkStart w:id="7"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直接对所有连杆求解完整动力学会增加参数标定与实时计算负担。本文采用分层建模方法，先对具有独立质量的轮体建模，再通过虚功原理将轮端载荷映射到腿部驱动。Fig.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该表达式取轮轴方向投影；其余方向的约束力矩由轴承和机构承担。低速实现中忽略陀螺项，快速转动时则需考虑惯性耦合。</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7"/>
    <w:p w14:paraId="5DC355BB">
      <w:pPr>
        <w:pStyle w:val="4"/>
        <w:numPr>
          <w:ilvl w:val="2"/>
          <w:numId w:val="0"/>
        </w:numPr>
        <w:snapToGrid w:val="0"/>
      </w:pPr>
      <w:bookmarkStart w:id="8"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eastAsia="zh-CN"/>
        </w:rPr>
        <w:t>此</w:t>
      </w:r>
      <w:r>
        <w:rPr>
          <w:rFonts w:hint="eastAsia"/>
          <w:sz w:val="20"/>
          <w:szCs w:val="20"/>
        </w:rPr>
        <w:t>近似</w:t>
      </w:r>
      <w:r>
        <w:rPr>
          <w:rFonts w:hint="eastAsia"/>
          <w:sz w:val="20"/>
          <w:szCs w:val="20"/>
          <w:lang w:eastAsia="zh-CN"/>
        </w:rPr>
        <w:t>精度较高</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8"/>
    <w:p w14:paraId="1F9BE2B0">
      <w:pPr>
        <w:pStyle w:val="4"/>
        <w:numPr>
          <w:ilvl w:val="2"/>
          <w:numId w:val="0"/>
        </w:numPr>
        <w:snapToGrid w:val="0"/>
      </w:pPr>
      <w:bookmarkStart w:id="9"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固定腿部关节姿态难以适应地面高度变化。本文根据姿态误差增量调整腿长，以惯性测量单元（IMU）提供的滚转角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SimSun"/>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底盘姿态控制器闭环方框图。滚转与俯仰分别采用式（18）的双环 P 控制及高度增量累加，两轴修正量经式（19）共同分配至四腿；关节伺服内环合并表示。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，按照本文的工具坐标约定，腕心沿工具负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bookmarkStart w:id="18" w:name="_GoBack"/>
      <w:bookmarkEnd w:id="18"/>
    </w:p>
    <w:p w14:paraId="1428A8F6">
      <w:pPr>
        <w:pStyle w:val="18"/>
        <w:numPr>
          <w:ilvl w:val="0"/>
          <w:numId w:val="0"/>
        </w:numPr>
        <w:snapToGrid w:val="0"/>
      </w:pPr>
      <w:r>
        <w:rPr>
          <w:iCs/>
        </w:rPr>
        <w:t xml:space="preserve">Fig. 8.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。按图示连杆参数与关节零位定义，</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为零位偏置。按本文的球腕坐标约定，在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4"/>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59635" cy="5554345"/>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5"/>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[1]）</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 </w:t>
      </w: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2"/>
    <w:p w14:paraId="01EF466D">
      <w:pPr>
        <w:pStyle w:val="4"/>
        <w:numPr>
          <w:ilvl w:val="2"/>
          <w:numId w:val="0"/>
        </w:numPr>
        <w:snapToGrid w:val="0"/>
      </w:pPr>
      <w:bookmarkStart w:id="13"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p>
    <w:bookmarkEnd w:id="13"/>
    <w:p w14:paraId="4E78815B">
      <w:pPr>
        <w:pStyle w:val="4"/>
        <w:numPr>
          <w:ilvl w:val="2"/>
          <w:numId w:val="0"/>
        </w:numPr>
        <w:snapToGrid w:val="0"/>
      </w:pPr>
      <w:bookmarkStart w:id="14"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p>
    <w:p w14:paraId="39B0740A">
      <w:pPr>
        <w:pStyle w:val="7"/>
        <w:numPr>
          <w:ilvl w:val="0"/>
          <w:numId w:val="0"/>
        </w:numPr>
        <w:snapToGrid w:val="0"/>
        <w:rPr>
          <w:sz w:val="20"/>
        </w:rPr>
      </w:pPr>
      <w:r>
        <w:rPr>
          <w:rFonts w:hint="eastAsia"/>
          <w:sz w:val="20"/>
          <w:szCs w:val="20"/>
        </w:rPr>
        <w:t xml:space="preserve">将从端机械臂基坐标系记为 {A}，与 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将式（33）的目标位置和姿态重新组合，得到从端末端相对机械臂基座的目标齐次变换矩阵：</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，由式（23）及零位偏置得到后三个关节角。保留满足关节限位且与上一时刻最接近的可行解，作为六轴关节指令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。目标不可达或位于奇异位形时，不直接输出该逆解；重置位置零点时同步更新从端参考位置，以保持目标连续。</w:t>
      </w:r>
    </w:p>
    <w:bookmarkEnd w:id="2"/>
    <w:bookmarkEnd w:id="11"/>
    <w:bookmarkEnd w:id="14"/>
    <w:p w14:paraId="3A278C2B">
      <w:pPr>
        <w:pStyle w:val="2"/>
        <w:numPr>
          <w:ilvl w:val="0"/>
          <w:numId w:val="0"/>
        </w:numPr>
        <w:snapToGrid w:val="0"/>
      </w:pPr>
      <w:bookmarkStart w:id="15" w:name="v.-结论conclusion"/>
      <w:r>
        <w:t>II.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本文形成了底盘移动与姿态控制、机械臂逆运动学及主从位姿映射相结合的控制流程。整机能耗、末端定位精度及重复任务成功率仍需定量评估。后续将完善带物理约束的接触力分配与主从标定，统一仿真和实机测试条件，并通过重复任务试验评价该方案的效率、精度和适用范围。</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16"/>
    <w:p w14:paraId="07FDE488">
      <w:pPr>
        <w:pStyle w:val="6"/>
        <w:keepNext/>
        <w:numPr>
          <w:ilvl w:val="0"/>
          <w:numId w:val="0"/>
        </w:numPr>
        <w:snapToGrid w:val="0"/>
      </w:pPr>
      <w:bookmarkStart w:id="17" w:name="参考文献references"/>
      <w:r>
        <w:rPr>
          <w:rFonts w:hint="eastAsia"/>
        </w:rPr>
        <w:t>参考文献（References）</w:t>
      </w:r>
    </w:p>
    <w:p w14:paraId="4260D61B">
      <w:pPr>
        <w:pStyle w:val="22"/>
        <w:numPr>
          <w:ilvl w:val="0"/>
          <w:numId w:val="0"/>
        </w:numPr>
        <w:snapToGrid w:val="0"/>
      </w:pPr>
      <w:r>
        <w:t xml:space="preserve">[1] </w:t>
      </w:r>
      <w:r>
        <w:rPr>
          <w:rFonts w:hint="eastAsia"/>
        </w:rPr>
        <w:t>“机械部分，”项目机械设计资料，未正式出版，作者与成稿日期待确认，仓库文件：机械部分.docx。</w:t>
      </w:r>
    </w:p>
    <w:bookmarkEnd w:id="0"/>
    <w:bookmarkEnd w:id="17"/>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47FBC7DB"/>
    <w:rsid w:val="677EF307"/>
    <w:rsid w:val="6EFF9550"/>
    <w:rsid w:val="7CFFB4DD"/>
    <w:rsid w:val="7D7BC468"/>
    <w:rsid w:val="7DB3EA36"/>
    <w:rsid w:val="7DB9D918"/>
    <w:rsid w:val="7DDBEB2D"/>
    <w:rsid w:val="7F7C0272"/>
    <w:rsid w:val="7FFB82DC"/>
    <w:rsid w:val="7FFD2014"/>
    <w:rsid w:val="7FFE82C9"/>
    <w:rsid w:val="B31DD456"/>
    <w:rsid w:val="C7EFD916"/>
    <w:rsid w:val="D1E9525F"/>
    <w:rsid w:val="DE3FEC34"/>
    <w:rsid w:val="F7FB23B8"/>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110</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2026-10-08T18:20:00Z</dcterms:created>
  <dc:creator>赵苏亚</dc:creator>
  <cp:lastModifiedBy>赵苏亚</cp:lastModifiedBy>
  <dcterms:modified xsi:type="dcterms:W3CDTF">2026-10-07T18:39:19Z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