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嵌入式实现提供依据。</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1B8FE646">
      <w:pPr>
        <w:pStyle w:val="2"/>
        <w:numPr>
          <w:ilvl w:val="0"/>
          <w:numId w:val="0"/>
        </w:numPr>
        <w:snapToGrid w:val="0"/>
      </w:pPr>
      <w:bookmarkStart w:id="2" w:name="iii.-提出的方法proposed-method"/>
      <w:r>
        <w:t>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sz w:val="20"/>
        </w:rPr>
      </w:pPr>
      <w:r>
        <w:rPr>
          <w:rFonts w:hint="eastAsia"/>
          <w:sz w:val="20"/>
          <w:szCs w:val="20"/>
        </w:rPr>
        <w:t>底盘采用四轮足构型，每条腿由两个俯仰关节和一个麦克纳姆轮驱动自由度组成。腿部关节调节支撑高度和机身姿态，四个车轮配合实现平面全向运动。基座由碳纤维方管、铝方管、板材及连接件构成分层框架；每条腿的两路关节驱动集中在髋部，并利用平行四边形机构传递膝部运动，以减小小腿运动时的惯性负担 [1]。</w:t>
      </w:r>
    </w:p>
    <w:p w14:paraId="6F10A102">
      <w:pPr>
        <w:pStyle w:val="7"/>
        <w:numPr>
          <w:ilvl w:val="0"/>
          <w:numId w:val="0"/>
        </w:numPr>
        <w:snapToGrid w:val="0"/>
        <w:rPr>
          <w:sz w:val="20"/>
        </w:rPr>
      </w:pPr>
      <w:r>
        <w:rPr>
          <w:rFonts w:hint="eastAsia"/>
          <w:sz w:val="20"/>
          <w:szCs w:val="20"/>
        </w:rPr>
        <w:t>机械臂模块安装于底盘上方，由六轴串联机械臂和夹爪组成。机械臂采用肘式臂与球腕结构，前三个关节主要确定腕心位置，后三个关节确定末端姿态；夹爪的开合自由度用于抓取。机械臂连杆采用碳纤维板与铝制加工件，夹爪采用连杆与滑轨机构 [1]。</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并联机构测量三维位置，以安装在动平台上的三编码器手柄测量姿态。平行四边形从动臂使动平台始终与静平台保持平行，将平移输入与姿态输入分离；手柄从 j1 到 j3 依次对应动轴 roll、pitch、yaw。主手通过正运动学获得位置和姿态，并经无线链路向作为从手的机械臂发送位姿指令；主手的力矩前馈用于补偿自身重力，减轻静态持握负担。</w:t>
      </w:r>
    </w:p>
    <w:p w14:paraId="6F100001">
      <w:pPr>
        <w:keepNext/>
        <w:keepLines/>
        <w:numPr>
          <w:ilvl w:val="0"/>
          <w:numId w:val="0"/>
        </w:numPr>
        <w:snapToGrid w:val="0"/>
        <w:spacing w:before="60" w:after="60" w:line="240" w:lineRule="auto"/>
        <w:ind w:left="0" w:right="0" w:firstLine="0"/>
        <w:jc w:val="center"/>
      </w:pPr>
      <w:r>
        <w:drawing>
          <wp:inline distT="0" distB="0" distL="0" distR="0">
            <wp:extent cx="3059430" cy="3126105"/>
            <wp:effectExtent l="0" t="0" r="7620" b="762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tretch>
                      <a:fillRect/>
                    </a:stretch>
                  </pic:blipFill>
                  <pic:spPr>
                    <a:xfrm>
                      <a:off x="0" y="0"/>
                      <a:ext cx="3060000" cy="3126575"/>
                    </a:xfrm>
                    <a:prstGeom prst="rect">
                      <a:avLst/>
                    </a:prstGeom>
                  </pic:spPr>
                </pic:pic>
              </a:graphicData>
            </a:graphic>
          </wp:inline>
        </w:drawing>
      </w:r>
    </w:p>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ilvl w:val="0"/>
          <w:numId w:val="0"/>
        </w:numPr>
        <w:snapToGrid w:val="0"/>
        <w:spacing w:before="60" w:after="60" w:line="240" w:lineRule="auto"/>
        <w:ind w:left="0" w:right="0" w:firstLine="0"/>
        <w:jc w:val="center"/>
      </w:pPr>
      <w:r>
        <w:drawing>
          <wp:inline distT="0" distB="0" distL="0" distR="0">
            <wp:extent cx="3059430" cy="3877945"/>
            <wp:effectExtent l="0" t="0" r="7620" b="8255"/>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3060000" cy="3878564"/>
                    </a:xfrm>
                    <a:prstGeom prst="rect">
                      <a:avLst/>
                    </a:prstGeom>
                  </pic:spPr>
                </pic:pic>
              </a:graphicData>
            </a:graphic>
          </wp:inline>
        </w:drawing>
      </w:r>
    </w:p>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 P 控制器根据 IMU 反馈产生等效腿长增量，经累加、腿高分配和腿部逆运动学得到目标关节角，再由单关节位置—速度串级 PID 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r>
        <w:rPr>
          <w:rFonts w:ascii="Times New Roman" w:hAnsi="Times New Roman" w:eastAsia="宋体"/>
          <w:sz w:val="20"/>
          <w:szCs w:val="20"/>
        </w:rPr>
        <w:t xml:space="preserve">点号表示对时间求导，带期望标记时表示对应导数量的参考值；</w:t>
      </w:r>
      <m:oMath>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分别表示所在坐标系的三个坐标轴单位矢量。</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Delta 静平台，原点位于静平台中心，轴向按 I-D 节定义。上述坐标系均采用右手约定，主手位姿须经坐标变换后用于从端逆运动学。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 xml:space="preserve">1) 概述</w:t>
      </w:r>
      <w:r>
        <w:rPr>
          <w:rFonts w:hint="eastAsia"/>
        </w:rPr>
        <w:t xml:space="preserve"/>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采用“单腿建模—整机合力分配—关节执行”的分层结构。腿部关节调整支撑高度与前后轮心位置，车轮负责平面滚动。</w:t>
      </w:r>
    </w:p>
    <w:p w14:paraId="6F10B002">
      <w:pPr>
        <w:pStyle w:val="4"/>
        <w:numPr>
          <w:ilvl w:val="2"/>
          <w:numId w:val="0"/>
        </w:numPr>
        <w:snapToGrid w:val="0"/>
      </w:pPr>
      <w:r>
        <w:t xml:space="preserve">2) 单腿运动学</w:t>
      </w:r>
      <w:r>
        <w:rPr>
          <w:rFonts w:hint="eastAsia"/>
        </w:rPr>
        <w:t xml:space="preserve"/>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0.07 </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SimSun"/>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m:rP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 xml:space="preserve">3) 麦克纳姆轮运动学</w:t>
      </w:r>
      <w:r>
        <w:rPr>
          <w:rFonts w:hint="eastAsia"/>
        </w:rPr>
        <w:t xml:space="preserve"/>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式（8）保留了普通车轮的滚动项与辊子带来的侧向项。轮毂相对小腿的编码器速度与绝对自转速度还相差小腿绕轮轴的转速；腿部运动时应进行相应补偿。</w:t>
      </w:r>
    </w:p>
    <w:bookmarkEnd w:id="6"/>
    <w:p w14:paraId="5844043D">
      <w:pPr>
        <w:pStyle w:val="4"/>
        <w:numPr>
          <w:ilvl w:val="2"/>
          <w:numId w:val="0"/>
        </w:numPr>
        <w:snapToGrid w:val="0"/>
      </w:pPr>
      <w:bookmarkStart w:id="7" w:name="轮体动力学与足端力映射"/>
      <w:r>
        <w:t xml:space="preserve">4) 轮体动力学与足端力映射</w:t>
      </w:r>
      <w:r>
        <w:rPr>
          <w:rFonts w:hint="eastAsia"/>
        </w:rPr>
        <w:t xml:space="preserve"/>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直接对所有连杆求解完整动力学会增加参数标定与实时计算负担。本文采用分层建模方法，先对具有独立质量的轮体建模，再通过虚功原理将轮端载荷映射到腿部驱动。Fig.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该表达式取轮轴方向投影；其余方向的约束力矩由轴承和机构承担。低速实现中忽略陀螺项，快速转动时则需考虑惯性耦合。</w:t>
      </w:r>
      <w:r>
        <w:rPr>
          <w:rFonts w:ascii="Times New Roman" w:hAnsi="Times New Roman" w:eastAsia="宋体"/>
          <w:sz w:val="20"/>
          <w:szCs w:val="20"/>
        </w:rPr>
        <w:t xml:space="preserve">其中，</w:t>
      </w:r>
      <m:oMath>
        <m:sSub>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rFonts w:ascii="Times New Roman" w:hAnsi="Times New Roman" w:eastAsia="宋体"/>
          <w:sz w:val="20"/>
          <w:szCs w:val="20"/>
        </w:rPr>
        <w:t xml:space="preserve"> 为轮体关于质心的惯性张量，</w:t>
      </w:r>
      <m:oMath>
        <m:sSub>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为轮体相对惯性系的角速度，</w:t>
      </w:r>
      <m:oMath>
        <m:sSub>
          <m:e>
            <m:acc>
              <m:accPr>
                <m:chr m:val="̇"/>
              </m:accPr>
              <m:e>
                <m:r>
                  <m:rPr>
                    <m:sty m:val="bi"/>
                  </m:rPr>
                  <w:rPr>
                    <w:rFonts w:ascii="Cambria Math" w:hAnsi="Cambria Math" w:eastAsia="Cambria Math" w:cs="Cambria Math"/>
                    <w:sz w:val="20"/>
                    <w:szCs w:val="20"/>
                  </w:rPr>
                  <m:t>ω</m:t>
                </m:r>
              </m:e>
            </m:acc>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为角加速度；上述量均以同一坐标系的分量参与运算。</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7"/>
    <w:p w14:paraId="5DC355BB">
      <w:pPr>
        <w:pStyle w:val="4"/>
        <w:numPr>
          <w:ilvl w:val="2"/>
          <w:numId w:val="0"/>
        </w:numPr>
        <w:snapToGrid w:val="0"/>
      </w:pPr>
      <w:bookmarkStart w:id="8" w:name="整机单刚体动力学"/>
      <w:r>
        <w:t xml:space="preserve">5) 整机单刚体动力学</w:t>
      </w:r>
      <w:r>
        <w:rPr>
          <w:rFonts w:hint="eastAsia"/>
        </w:rPr>
        <w:t xml:space="preserve"/>
      </w:r>
    </w:p>
    <w:p w14:paraId="7686BD07">
      <w:pPr>
        <w:pStyle w:val="7"/>
        <w:numPr>
          <w:ilvl w:val="0"/>
          <w:numId w:val="0"/>
        </w:numPr>
        <w:snapToGrid w:val="0"/>
        <w:rPr>
          <w:sz w:val="20"/>
        </w:rPr>
      </w:pP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ascii="Times New Roman" w:hAnsi="Times New Roman" w:eastAsia="宋体"/>
          <w:sz w:val="20"/>
          <w:szCs w:val="20"/>
        </w:rPr>
        <w:t xml:space="preserve">以下各量均在惯性系表示。</w:t>
      </w:r>
      <m:oMath>
        <m:r>
          <m:rPr>
            <m:sty m:val="bi"/>
          </m:rPr>
          <w:rPr>
            <w:rFonts w:ascii="Cambria Math" w:hAnsi="Cambria Math" w:eastAsia="Cambria Math" w:cs="Cambria Math"/>
            <w:sz w:val="20"/>
            <w:szCs w:val="20"/>
          </w:rPr>
          <m:t>ω</m:t>
        </m:r>
      </m:oMath>
      <w:r>
        <w:rPr>
          <w:rFonts w:ascii="Times New Roman" w:hAnsi="Times New Roman" w:eastAsia="宋体"/>
          <w:sz w:val="20"/>
          <w:szCs w:val="20"/>
        </w:rPr>
        <w:t xml:space="preserve"> 为机身角速度，</w:t>
      </w:r>
      <m:oMath>
        <m:acc>
          <m:accPr>
            <m:chr m:val="̇"/>
          </m:accPr>
          <m:e>
            <m:r>
              <m:rPr>
                <m:sty m:val="bi"/>
              </m:rPr>
              <w:rPr>
                <w:rFonts w:ascii="Cambria Math" w:hAnsi="Cambria Math" w:eastAsia="Cambria Math" w:cs="Cambria Math"/>
                <w:sz w:val="20"/>
                <w:szCs w:val="20"/>
              </w:rPr>
              <m:t>ω</m:t>
            </m:r>
          </m:e>
        </m:acc>
      </m:oMath>
      <w:r>
        <w:rPr>
          <w:rFonts w:ascii="Times New Roman" w:hAnsi="Times New Roman" w:eastAsia="宋体"/>
          <w:sz w:val="20"/>
          <w:szCs w:val="20"/>
        </w:rPr>
        <w:t xml:space="preserve"> 为角加速度，</w:t>
      </w:r>
      <m:oMath>
        <m:sSub>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ascii="Times New Roman" w:hAnsi="Times New Roman" w:eastAsia="宋体"/>
          <w:sz w:val="20"/>
          <w:szCs w:val="20"/>
        </w:rPr>
        <w:t xml:space="preserve"> 为以机体系分量表示的整机质心惯性张量。惯性张量变换为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ascii="Times New Roman" w:hAnsi="Times New Roman" w:eastAsia="宋体"/>
          <w:sz w:val="20"/>
          <w:szCs w:val="20"/>
        </w:rPr>
        <w:t xml:space="preserve">。令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eastAsia="zh-CN"/>
        </w:rPr>
        <w:t>此</w:t>
      </w:r>
      <w:r>
        <w:rPr>
          <w:rFonts w:hint="eastAsia"/>
          <w:sz w:val="20"/>
          <w:szCs w:val="20"/>
        </w:rPr>
        <w:t>近似</w:t>
      </w:r>
      <w:r>
        <w:rPr>
          <w:rFonts w:hint="eastAsia"/>
          <w:sz w:val="20"/>
          <w:szCs w:val="20"/>
          <w:lang w:eastAsia="zh-CN"/>
        </w:rPr>
        <w:t>精度较高</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8"/>
    <w:p w14:paraId="1F9BE2B0">
      <w:pPr>
        <w:pStyle w:val="4"/>
        <w:numPr>
          <w:ilvl w:val="2"/>
          <w:numId w:val="0"/>
        </w:numPr>
        <w:snapToGrid w:val="0"/>
      </w:pPr>
      <w:bookmarkStart w:id="9" w:name="姿态控制器"/>
      <w:r>
        <w:t xml:space="preserve">6) 姿态控制器</w:t>
      </w:r>
      <w:r>
        <w:rPr>
          <w:rFonts w:hint="eastAsia"/>
        </w:rPr>
        <w:t xml:space="preserve"/>
      </w:r>
    </w:p>
    <w:p w14:paraId="3D05A0BA">
      <w:pPr>
        <w:pStyle w:val="7"/>
        <w:numPr>
          <w:ilvl w:val="0"/>
          <w:numId w:val="0"/>
        </w:numPr>
        <w:snapToGrid w:val="0"/>
        <w:rPr>
          <w:sz w:val="20"/>
        </w:rPr>
      </w:pPr>
      <w:r>
        <w:rPr>
          <w:rFonts w:hint="eastAsia"/>
          <w:sz w:val="20"/>
          <w:szCs w:val="20"/>
        </w:rPr>
        <w:t>固定腿部关节姿态难以适应地面高度变化。本文根据姿态误差增量调整腿长，以惯性测量单元（IMU）提供的滚转角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SimSun"/>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底盘姿态控制器闭环方框图。滚转与俯仰分别采用式（18）的双环 P 控制及高度增量累加，两轴修正量经式（19）共同分配至四腿；关节伺服内环合并表示。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，按照本文的工具坐标约定，腕心沿工具负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 xml:space="preserve">(a)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256"/>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8"/>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 xml:space="preserve">(b) Joint coordinate frames</w:t>
      </w:r>
    </w:p>
    <w:p w14:paraId="1428A8F6">
      <w:pPr>
        <w:pStyle w:val="18"/>
        <w:numPr>
          <w:ilvl w:val="0"/>
          <w:numId w:val="0"/>
        </w:numPr>
        <w:snapToGrid w:val="0"/>
      </w:pPr>
      <w:r>
        <w:rPr>
          <w:iCs/>
        </w:rPr>
        <w:t xml:space="preserve">Fig. 8. 六轴机械臂关节坐标系。（a）侧视图上的坐标系对应位置。（b）关节坐标系与连杆尺寸定义。坐标系 2、3 的原点重合，坐标系 4、5 的原点重合。</w:t>
      </w:r>
      <w:r>
        <w:rPr>
          <w:rFonts w:hint="eastAsia"/>
          <w:iCs/>
        </w:rPr>
        <w:t xml:space="preserve"/>
      </w:r>
      <w:r>
        <w:rPr>
          <w:rFonts w:hint="eastAsia"/>
          <w:iCs/>
          <w:lang w:eastAsia="zh-CN"/>
        </w:rPr>
        <w:t xml:space="preserve"/>
      </w:r>
      <w:r>
        <w:rPr>
          <w:rFonts w:hint="eastAsia"/>
          <w:iCs/>
        </w:rPr>
        <w:t xml:space="preserve"/>
      </w:r>
    </w:p>
    <w:p w14:paraId="6F10C801">
      <w:pPr>
        <w:pStyle w:val="7"/>
        <w:numPr>
          <w:ilvl w:val="0"/>
          <w:numId w:val="0"/>
        </w:numPr>
        <w:snapToGrid w:val="0"/>
        <w:rPr>
          <w:sz w:val="20"/>
        </w:rPr>
      </w:pPr>
      <w:r>
        <w:rPr>
          <w:rFonts w:ascii="Times New Roman" w:hAnsi="Times New Roman" w:eastAsia="宋体"/>
          <w:sz w:val="20"/>
          <w:szCs w:val="20"/>
        </w:rPr>
        <w:t xml:space="preserve">关节角记为 </w:t>
      </w:r>
      <m:oMath>
        <m:sSub>
          <m:e>
            <m:r>
              <m:rPr>
                <m:sty m:val="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m:sty m:val="i"/>
              </m:rPr>
              <w:rPr>
                <w:rFonts w:ascii="Cambria Math" w:hAnsi="Cambria Math" w:eastAsia="Cambria Math" w:cs="Cambria Math"/>
                <w:sz w:val="20"/>
                <w:szCs w:val="20"/>
              </w:rPr>
              <m:t>j</m:t>
            </m:r>
          </m:sub>
        </m:sSub>
      </m:oMath>
      <w:r>
        <w:rPr>
          <w:rFonts w:ascii="Times New Roman" w:hAnsi="Times New Roman" w:eastAsia="宋体"/>
          <w:sz w:val="20"/>
          <w:szCs w:val="20"/>
        </w:rPr>
        <w:t xml:space="preserve">（</w:t>
      </w:r>
      <m:oMath>
        <m:r>
          <m:rPr>
            <m:sty m:val="i"/>
          </m:rPr>
          <w:rPr>
            <w:rFonts w:ascii="Cambria Math" w:hAnsi="Cambria Math" w:eastAsia="Cambria Math" w:cs="Cambria Math"/>
            <w:sz w:val="20"/>
            <w:szCs w:val="20"/>
          </w:rPr>
          <m:t>j</m:t>
        </m:r>
        <m:r>
          <m:rPr>
            <m:sty m:val="p"/>
          </m:rPr>
          <w:rPr>
            <w:rFonts w:ascii="Cambria Math" w:hAnsi="Cambria Math" w:eastAsia="Cambria Math" w:cs="Cambria Math"/>
            <w:sz w:val="20"/>
            <w:szCs w:val="20"/>
          </w:rPr>
          <m:t>=1,…,6</m:t>
        </m:r>
      </m:oMath>
      <w:r>
        <w:rPr>
          <w:rFonts w:ascii="Times New Roman" w:hAnsi="Times New Roman" w:eastAsia="宋体"/>
          <w:sz w:val="20"/>
          <w:szCs w:val="20"/>
        </w:rPr>
        <w:t xml:space="preserve">），末端位置和姿态均相对于基坐标系 {0} 表示。</w:t>
      </w:r>
      <m:oMath>
        <m:sSub>
          <m:e>
            <m:r>
              <m:rPr>
                <m:sty m:val="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3</m:t>
            </m:r>
          </m:sub>
        </m:sSub>
      </m:oMath>
      <w:r>
        <w:rPr>
          <w:rFonts w:ascii="Times New Roman" w:hAnsi="Times New Roman" w:eastAsia="宋体"/>
          <w:sz w:val="20"/>
          <w:szCs w:val="20"/>
        </w:rPr>
        <w:t xml:space="preserve"> 为肘部连杆偏置，</w:t>
      </w:r>
      <m:oMath>
        <m:sSub>
          <m:e>
            <m:r>
              <m:rPr>
                <m:sty m:val="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为沿第三坐标系 z 轴从其原点至腕心的距离。Fig. 8 所示构型中，坐标系 2、3 原点重合，故取 </w:t>
      </w:r>
      <m:oMath>
        <m:sSub>
          <m:e>
            <m:r>
              <m:rPr>
                <m:sty m:val="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=0</m:t>
        </m:r>
      </m:oMath>
      <w:r>
        <w:rPr>
          <w:rFonts w:ascii="Times New Roman" w:hAnsi="Times New Roman" w:eastAsia="宋体"/>
          <w:sz w:val="20"/>
          <w:szCs w:val="20"/>
        </w:rPr>
        <w:t xml:space="preserve">。</w:t>
      </w:r>
    </w:p>
    <w:p w14:paraId="2743674C">
      <w:pPr>
        <w:pStyle w:val="7"/>
        <w:numPr>
          <w:ilvl w:val="0"/>
          <w:numId w:val="0"/>
        </w:numPr>
        <w:snapToGrid w:val="0"/>
        <w:rPr>
          <w:sz w:val="20"/>
        </w:rPr>
      </w:pPr>
      <w:r>
        <w:rPr>
          <w:rFonts w:hint="eastAsia"/>
          <w:sz w:val="20"/>
          <w:szCs w:val="20"/>
          <w:lang w:eastAsia="zh-CN"/>
        </w:rPr>
        <w:t>将坐标系 4、5 的重合原点定义为腕心，</w:t>
      </w:r>
      <w:r>
        <w:rPr>
          <w:rFonts w:hint="eastAsia"/>
          <w:sz w:val="20"/>
          <w:szCs w:val="20"/>
          <w:lang w:val="en-US" w:eastAsia="zh-CN"/>
        </w:rPr>
        <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。按图示连杆参数与关节零位定义，</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为零位偏置。按本文的球腕坐标约定，在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rFonts w:hint="eastAsia" w:eastAsia="SimSun"/>
          <w:sz w:val="20"/>
          <w:lang w:eastAsia="zh-CN"/>
        </w:rPr>
      </w:pPr>
      <w:r>
        <w:rPr>
          <w:rFonts w:hint="eastAsia"/>
          <w:sz w:val="20"/>
          <w:szCs w:val="20"/>
        </w:rPr>
        <w:t>对候选解进行位姿回代及关节限位检查，选择与上一时刻关节角最接近的可行分支</w:t>
      </w:r>
      <w:r>
        <w:rPr>
          <w:rFonts w:hint="eastAsia"/>
          <w:sz w:val="20"/>
          <w:szCs w:val="20"/>
          <w:lang w:eastAsia="zh-CN"/>
        </w:rPr>
        <w:t>。</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4"/>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59635" cy="5554345"/>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5"/>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[1]）</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ascii="Times New Roman" w:hAnsi="Times New Roman" w:eastAsia="宋体"/>
          <w:sz w:val="20"/>
          <w:szCs w:val="20"/>
        </w:rPr>
        <w:t xml:space="preserve">记 </w:t>
      </w:r>
      <m:oMath>
        <m:sSub>
          <m:e>
            <m:r>
              <m:rPr>
                <m:sty m:val="b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1,yz</m:t>
            </m:r>
          </m:sub>
        </m:sSub>
        <m:r>
          <m:rPr>
            <m:sty m:val="p"/>
          </m:rPr>
          <w:rPr>
            <w:rFonts w:ascii="Cambria Math" w:hAnsi="Cambria Math" w:eastAsia="Cambria Math" w:cs="Cambria Math"/>
            <w:sz w:val="20"/>
            <w:szCs w:val="20"/>
          </w:rPr>
          <m:t>=</m:t>
        </m:r>
        <m:sSup>
          <m:e>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m:t>
                </m:r>
              </m:sub>
            </m:sSub>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1z</m:t>
                </m:r>
              </m:sub>
            </m:sSub>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ascii="Times New Roman" w:hAnsi="Times New Roman" w:eastAsia="宋体"/>
          <w:sz w:val="20"/>
          <w:szCs w:val="20"/>
        </w:rPr>
        <w:t xml:space="preserve">，代回第一球面，得到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 xml:space="preserve">，其中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从二次方程候选根中</w:t>
      </w:r>
      <w:r>
        <w:rPr>
          <w:rFonts w:hint="eastAsia"/>
          <w:sz w:val="20"/>
          <w:szCs w:val="20"/>
        </w:rPr>
        <w:t>选择满足工作侧、机构装配分支和连续性条件的根。</w:t>
      </w:r>
    </w:p>
    <w:bookmarkEnd w:id="12"/>
    <w:p w14:paraId="01EF466D">
      <w:pPr>
        <w:pStyle w:val="4"/>
        <w:numPr>
          <w:ilvl w:val="2"/>
          <w:numId w:val="0"/>
        </w:numPr>
        <w:snapToGrid w:val="0"/>
      </w:pPr>
      <w:bookmarkStart w:id="13" w:name="雅可比与力矩前馈"/>
      <w:r>
        <w:t xml:space="preserve">2) </w:t>
      </w:r>
      <w:r>
        <w:rPr>
          <w:rFonts w:hint="eastAsia"/>
        </w:rPr>
        <w:t>雅可比与力矩前馈</w:t>
      </w:r>
    </w:p>
    <w:p w14:paraId="79ABCD24">
      <w:pPr>
        <w:pStyle w:val="7"/>
        <w:numPr>
          <w:ilvl w:val="0"/>
          <w:numId w:val="0"/>
        </w:numPr>
        <w:snapToGrid w:val="0"/>
        <w:rPr>
          <w:rFonts w:hint="default" w:eastAsia="SimSun"/>
          <w:sz w:val="20"/>
          <w:szCs w:val="20"/>
          <w:lang w:val="en-US" w:eastAsia="zh-CN"/>
        </w:rPr>
      </w:pPr>
      <w:r>
        <w:rPr>
          <w:rFonts w:hint="eastAsia"/>
          <w:sz w:val="20"/>
          <w:szCs w:val="20"/>
          <w:lang w:eastAsia="zh-CN"/>
        </w:rPr>
        <w:t>为降低操作员的手部施力负担并改善操作精度，遥操作控制器通过 Delta 机构的三个主动关节施加前馈力矩，补偿机构自重的部分影响。</w:t>
      </w:r>
      <w:r>
        <w:rPr>
          <w:rFonts w:hint="eastAsia"/>
          <w:sz w:val="20"/>
          <w:szCs w:val="20"/>
          <w:lang w:val="en-US" w:eastAsia="zh-CN"/>
        </w:rPr>
        <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rFonts w:hint="eastAsia" w:eastAsia="SimSun"/>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p>
    <w:p w14:paraId="39B0740A">
      <w:pPr>
        <w:pStyle w:val="7"/>
        <w:numPr>
          <w:ilvl w:val="0"/>
          <w:numId w:val="0"/>
        </w:numPr>
        <w:snapToGrid w:val="0"/>
        <w:rPr>
          <w:sz w:val="20"/>
        </w:rPr>
      </w:pPr>
      <w:r>
        <w:rPr>
          <w:rFonts w:hint="eastAsia"/>
          <w:sz w:val="20"/>
          <w:szCs w:val="20"/>
        </w:rPr>
        <w:t xml:space="preserve">将从端机械臂基坐标系记为 {A}，与 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将式（33）的目标位置和姿态重新组合，得到从端末端相对机械臂基座的目标齐次变换矩阵：</w:t>
      </w:r>
      <w:bookmarkStart w:id="18" w:name="_GoBack"/>
      <w:bookmarkEnd w:id="18"/>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，由式（23）及零位偏置得到后三个关节角。保留满足关节限位且与上一时刻最接近的可行解，作为六轴关节指令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w:t>
      </w:r>
    </w:p>
    <w:bookmarkEnd w:id="2"/>
    <w:bookmarkEnd w:id="11"/>
    <w:bookmarkEnd w:id="14"/>
    <w:p w14:paraId="3A278C2B">
      <w:pPr>
        <w:pStyle w:val="2"/>
        <w:numPr>
          <w:ilvl w:val="0"/>
          <w:numId w:val="0"/>
        </w:numPr>
        <w:snapToGrid w:val="0"/>
      </w:pPr>
      <w:bookmarkStart w:id="15" w:name="v.-结论conclusion"/>
      <w:r>
        <w:t>II.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本文形成了底盘移动与姿态控制、机械臂逆运动学及主从位姿映射相结合的控制流程。整机能耗、末端定位精度及重复任务成功率仍需定量评估。后续将完善带物理约束的接触力分配与主从标定，统一仿真和实机测试条件，并通过重复任务试验评价该方案的效率、精度和适用范围。</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16"/>
    <w:p w14:paraId="07FDE488">
      <w:pPr>
        <w:pStyle w:val="6"/>
        <w:keepNext/>
        <w:numPr>
          <w:ilvl w:val="0"/>
          <w:numId w:val="0"/>
        </w:numPr>
        <w:snapToGrid w:val="0"/>
      </w:pPr>
      <w:bookmarkStart w:id="17" w:name="参考文献references"/>
      <w:r>
        <w:rPr>
          <w:rFonts w:hint="eastAsia"/>
        </w:rPr>
        <w:t>参考文献（References）</w:t>
      </w:r>
    </w:p>
    <w:p w14:paraId="4260D61B">
      <w:pPr>
        <w:pStyle w:val="22"/>
        <w:numPr>
          <w:ilvl w:val="0"/>
          <w:numId w:val="0"/>
        </w:numPr>
        <w:snapToGrid w:val="0"/>
      </w:pPr>
      <w:r>
        <w:t xml:space="preserve">[1] </w:t>
      </w:r>
      <w:r>
        <w:rPr>
          <w:rFonts w:hint="eastAsia"/>
        </w:rPr>
        <w:t>“机械部分，”项目机械设计资料，未正式出版，作者与成稿日期待确认，仓库文件：机械部分.docx。</w:t>
      </w:r>
    </w:p>
    <w:bookmarkEnd w:id="0"/>
    <w:bookmarkEnd w:id="17"/>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15B381E1"/>
    <w:rsid w:val="47FBC7DB"/>
    <w:rsid w:val="677EF307"/>
    <w:rsid w:val="6EFF9550"/>
    <w:rsid w:val="7CFFB4DD"/>
    <w:rsid w:val="7D7BC468"/>
    <w:rsid w:val="7DB3EA36"/>
    <w:rsid w:val="7DB9D918"/>
    <w:rsid w:val="7DDBEB2D"/>
    <w:rsid w:val="7F7C0272"/>
    <w:rsid w:val="7FFB82DC"/>
    <w:rsid w:val="7FFD2014"/>
    <w:rsid w:val="7FFE82C9"/>
    <w:rsid w:val="B31DD456"/>
    <w:rsid w:val="BBFFEEA7"/>
    <w:rsid w:val="C7EFD916"/>
    <w:rsid w:val="D1E9525F"/>
    <w:rsid w:val="DE3FEC34"/>
    <w:rsid w:val="F7FB23B8"/>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8" Type="http://schemas.openxmlformats.org/officeDocument/2006/relationships/image" Target="media/arm_joint_frames_correcte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133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2026-10-08T18:20:00Z</dcterms:created>
  <dc:creator>赵苏亚</dc:creator>
  <cp:lastModifiedBy>赵苏亚</cp:lastModifiedBy>
  <dcterms:modified xsi:type="dcterms:W3CDTF">2026-10-07T19:03:22Z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