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1C982">
      <w:pPr>
        <w:pStyle w:val="21"/>
        <w:numPr>
          <w:ilvl w:val="0"/>
          <w:numId w:val="0"/>
        </w:numPr>
        <w:snapToGrid w:val="0"/>
      </w:pPr>
      <w:bookmarkStart w:id="0" w:name="麦克纳姆轮四足移动机械臂的轻量化设计与基于-delta-机构的异构遥操作控制"/>
      <w:r>
        <w:rPr>
          <w:rFonts w:hint="eastAsia"/>
        </w:rPr>
        <w:t>麦克纳姆轮四足移动机械臂的轻量化设计与基于</w:t>
      </w:r>
      <w:r>
        <w:t xml:space="preserve"> Delta </w:t>
      </w:r>
      <w:r>
        <w:rPr>
          <w:rFonts w:hint="eastAsia"/>
        </w:rPr>
        <w:t>机构的异构遥操作控制</w:t>
      </w:r>
    </w:p>
    <w:p w14:paraId="54C95EF6">
      <w:pPr>
        <w:pStyle w:val="14"/>
        <w:numPr>
          <w:ilvl w:val="0"/>
          <w:numId w:val="0"/>
        </w:numPr>
        <w:snapToGrid w:val="0"/>
        <w:sectPr>
          <w:pgSz w:w="11906" w:h="16838"/>
          <w:pgMar w:top="540" w:right="893" w:bottom="1440" w:left="893" w:header="720" w:footer="720" w:gutter="0"/>
          <w:cols w:space="720" w:num="1"/>
          <w:docGrid w:linePitch="360" w:charSpace="0"/>
        </w:sectPr>
      </w:pPr>
    </w:p>
    <w:p w14:paraId="53B7F503">
      <w:pPr>
        <w:pStyle w:val="12"/>
        <w:numPr>
          <w:ilvl w:val="0"/>
          <w:numId w:val="0"/>
        </w:numPr>
        <w:snapToGrid w:val="0"/>
      </w:pPr>
      <w:bookmarkStart w:id="1" w:name="摘要abstract"/>
      <w:r>
        <w:t>摘要（Abstract）—</w:t>
      </w:r>
      <w:r>
        <w:rPr>
          <w:rFonts w:hint="eastAsia"/>
        </w:rPr>
        <w:t>搭载机械臂的四足机器人兼具地形适应能力和环境操作能力，在灾害救援、危险环境作业与园区巡检等场景中具有应用价值。面向移动灵活性、结构质量和嵌入式计算资源之间的折中，本文提出一种麦克纳姆轮四足移动机械臂及其异构遥操作系统。底盘每腿保留两个俯仰关节和一个车轮驱动自由度，通过麦克纳姆轮的方向约束实现平面全向运动；控制上采用单腿虚功映射与整机单刚体模型相结合的分层力矩前馈，并通过姿态反馈调整腿长。六轴机械臂通过位置与姿态分解完成解析逆运动学，主端采用</w:t>
      </w:r>
      <w:r>
        <w:t xml:space="preserve"> Delta </w:t>
      </w:r>
      <w:r>
        <w:rPr>
          <w:rFonts w:hint="eastAsia"/>
        </w:rPr>
        <w:t>并联机构与三编码器手柄分别输入末端位置和姿态。通过主从坐标校准与位姿映射，将主手输入转换为机械臂关节指令，并采用主手重力补偿减轻静态持握负担。本文建立了从机构设计、运动学建模到模型前馈与关节控制的完整方法，为系统的嵌入式实现提供依据。</w:t>
      </w:r>
    </w:p>
    <w:p w14:paraId="6FCC174E">
      <w:pPr>
        <w:pStyle w:val="29"/>
        <w:numPr>
          <w:ilvl w:val="0"/>
          <w:numId w:val="0"/>
        </w:numPr>
        <w:snapToGrid w:val="0"/>
      </w:pPr>
      <w:r>
        <w:rPr>
          <w:rFonts w:hint="eastAsia"/>
          <w:b/>
          <w:bCs/>
        </w:rPr>
        <w:t>关键词（Keywords）</w:t>
      </w:r>
      <w:r>
        <w:rPr>
          <w:rFonts w:hint="eastAsia"/>
        </w:rPr>
        <w:t>：轮足机器人，麦克纳姆轮，移动操作，轻量化设计，力矩前馈，异构遥操作。</w:t>
      </w:r>
    </w:p>
    <w:bookmarkEnd w:id="1"/>
    <w:p w14:paraId="1B8FE646">
      <w:pPr>
        <w:pStyle w:val="2"/>
        <w:numPr>
          <w:ilvl w:val="0"/>
          <w:numId w:val="0"/>
        </w:numPr>
        <w:snapToGrid w:val="0"/>
      </w:pPr>
      <w:bookmarkStart w:id="2" w:name="iii.-提出的方法proposed-method"/>
      <w:r>
        <w:t>I. 提出的方法</w:t>
      </w:r>
      <w:r>
        <w:rPr>
          <w:rFonts w:hint="eastAsia"/>
        </w:rPr>
        <w:t>（Proposed</w:t>
      </w:r>
      <w:r>
        <w:t xml:space="preserve"> </w:t>
      </w:r>
      <w:r>
        <w:rPr>
          <w:rFonts w:hint="eastAsia"/>
        </w:rPr>
        <w:t>Method）</w:t>
      </w:r>
    </w:p>
    <w:p w14:paraId="33EBB027">
      <w:pPr>
        <w:pStyle w:val="3"/>
        <w:numPr>
          <w:ilvl w:val="1"/>
          <w:numId w:val="0"/>
        </w:numPr>
        <w:snapToGrid w:val="0"/>
      </w:pPr>
      <w:bookmarkStart w:id="3" w:name="a.-系统结构与符号约定"/>
      <w:r>
        <w:t xml:space="preserve">A. </w:t>
      </w:r>
      <w:r>
        <w:rPr>
          <w:rFonts w:hint="eastAsia"/>
        </w:rPr>
        <w:t>系统结构与符号约定</w:t>
      </w:r>
    </w:p>
    <w:p w14:paraId="55B0C86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系统由机器人端的底盘、机械臂模块和操作者侧的 Delta 遥操作控制器组成，分别承担移动与姿态调节、末端操作和位姿输入</w:t>
      </w:r>
      <w:r>
        <w:rPr>
          <w:rFonts w:hint="eastAsia"/>
          <w:sz w:val="20"/>
          <w:szCs w:val="20"/>
          <w:lang w:val="en-US" w:eastAsia="zh-CN"/>
        </w:rPr>
        <w:t>工作</w:t>
      </w:r>
      <w:r>
        <w:rPr>
          <w:rFonts w:hint="eastAsia"/>
          <w:sz w:val="20"/>
          <w:szCs w:val="20"/>
        </w:rPr>
        <w:t>。机器人端包含十二自由度底盘、六转动关节机械臂及单自由度夹爪，共十九个主动自由度；遥操作主手的三个平移自由度与三个姿态输入自由度单独计数。机器人端与主手的模块划分及主要坐标系如 Fig. 1 所示。</w:t>
      </w:r>
    </w:p>
    <w:p w14:paraId="6F10A1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底盘采用四轮足构型，每条腿由两个俯仰关节和一个麦克纳姆轮驱动自由度组成。腿部关节调节支撑高度和机身姿态，四个车轮配合实现平面全向运动。基座由碳纤维方管、铝方管、板材及连接件构成分层框架；每条腿的两路关节驱动集中在髋部，并利用平行四边形机构传递膝部运动，以减小小腿运动时的惯性负担。</w:t>
      </w:r>
    </w:p>
    <w:p w14:paraId="6F10A1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机械臂模块安装于底盘上方，由六轴串联机械臂和夹爪组成。机械臂采用肘式臂与球腕结构，并按 Denavit–Hartenberg（DH）法定义关节坐标系；前三个关节主要确定腕心位置，后三个关节确定末端姿态；夹爪的开合自由度用于抓取。机械臂连杆采用碳纤维板与铝制加工件，夹爪采用连杆与滑轨机构。</w:t>
      </w:r>
    </w:p>
    <w:p w14:paraId="6F10A103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遥操作控制器作为主手，以三支链 Delta 并联机构测量三维位置，以安装在动平台上的三编码器手柄测量姿态。平行四边形从动臂使动平台始终与静平台保持平行，将平移输入与姿态输入分离；手柄从 j1 到 j3 依次对应动轴滚转（roll）、俯仰（pitch）和偏航（yaw），简称 RPY。主手通过正运动学获得位置和姿态，并经无线链路向作为从手的机械臂发送位姿指令；主手的力矩前馈用于补偿自身重力，减轻静态持握负担。</w:t>
      </w:r>
    </w:p>
    <w:p w14:paraId="655E4C2D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</w:p>
    <w:p w14:paraId="6F100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3126105"/>
            <wp:effectExtent l="0" t="0" r="7620" b="7620"/>
            <wp:docPr id="32" name="Fig. 1" descr="Whole-robot modules and world, body, leg and arm DH base coordinate fr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. 1" descr="Whole-robot modules and world, body, leg and arm DH base coordinate fram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1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0003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(a) Robot</w:t>
      </w:r>
    </w:p>
    <w:p w14:paraId="6F100004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3877945"/>
            <wp:effectExtent l="0" t="0" r="7620" b="8255"/>
            <wp:docPr id="33" name="Fig. 1(b)" descr="Teleoperation controller, Delta robot and three-axis handle with base fram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. 1(b)" descr="Teleoperation controller, Delta robot and three-axis handle with base frame 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8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0005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(b) Teleoperation controller</w:t>
      </w:r>
    </w:p>
    <w:p w14:paraId="6F100002">
      <w:pPr>
        <w:pStyle w:val="18"/>
        <w:keepLines/>
        <w:numPr>
          <w:ilvl w:val="0"/>
          <w:numId w:val="0"/>
        </w:numPr>
        <w:snapToGrid w:val="0"/>
      </w:pPr>
      <w:r>
        <w:t>Fig. 1. 系统模块划分与坐标系。（a）机器人端：橙色和青色分别表示机械臂模块、底盘模块；{s} 为惯性系，{b} 位于基座中心，{leg} 位于图示腿的髋关节，{0} 为机械臂 DH 基坐标系，图示前方朝右。（b）遥操作控制器：紫色区域标记整个主手，较淡的蓝色和橙色区域分别标记 Delta 机械臂和三轴手柄；{D} 的原点 O 位于静平台中心，P 为动平台中心。各坐标系均采用右手约定。</w:t>
      </w:r>
    </w:p>
    <w:p w14:paraId="06F7C4A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整机控制流程如 Fig. 2 所示。底盘接收期望平动速度、加速度、基准高度及滚转、俯仰姿态角，分为关节控制器、麦克纳姆轮控制器和模型前馈三路。姿态角度—角速度双环比例（proportional，P）控制器根据惯性测量单元（inertial measurement unit，IMU）的反馈产生等效腿长增量，经累加、腿高分配和腿部逆运动学得到目标关节角，再由单关节位置—速度串级比例–积分–微分（proportional–integral–derivative，PID）控制输出控制力矩；麦克纳姆轮运动学给出轮电机目标速度，由速度环 PID 输出控制力矩。前馈侧先由单刚体动力学分配期望足端力，再经轮体动力学与腿部连杆力映射得到电机前馈力矩。关节和轮电机分别将控制器输出与对应前馈力矩相加。</w:t>
      </w:r>
    </w:p>
    <w:p w14:paraId="6F10A1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控制链以主手位姿为输入，经位置缩放和姿态转换构造从端目标齐次变换矩阵，再由解析逆运动学生成六轴关节目标。关节层根据编码器反馈进行位置—速度串级控制，并叠加机械臂重力前馈。由此，主手在笛卡尔空间描述操作意图，机械臂在关节空间执行指令；底盘依据自身运动指令与 IMU、编码器反馈完成移动和支撑调节。</w:t>
      </w:r>
    </w:p>
    <w:p w14:paraId="11FB4EBB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7368540"/>
            <wp:effectExtent l="0" t="0" r="7620" b="3810"/>
            <wp:docPr id="31" name="Fig. 2" descr="整机控制流程：遥操作与机械臂控制、底盘控制及测量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. 2" descr="整机控制流程：遥操作与机械臂控制、底盘控制及测量反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F1DB">
      <w:pPr>
        <w:pStyle w:val="18"/>
        <w:numPr>
          <w:ilvl w:val="0"/>
          <w:numId w:val="0"/>
        </w:numPr>
        <w:snapToGrid w:val="0"/>
      </w:pPr>
      <w:r>
        <w:rPr>
          <w:rFonts w:hint="eastAsia"/>
        </w:rPr>
        <w:t>Fig. 2. 整机控制流程。（a）遥操作位姿映射与机械臂控制。（b）底盘关节控制、麦克纳姆轮控制及前馈三路结构；单刚体动力学得到期望足端力，经轮体动力学与腿部连杆力映射得到电机前馈力矩。关节与轮电机分别将控制器输出和前馈力矩相加。实线为前向信号路径，虚线为测量反馈；FF 表示前馈（feedforward）。</w:t>
      </w:r>
    </w:p>
    <w:p w14:paraId="0BA7822D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val="en-US" w:eastAsia="zh-CN"/>
        </w:rPr>
        <w:t>接下来</w:t>
      </w:r>
      <w:r>
        <w:rPr>
          <w:rFonts w:hint="eastAsia" w:ascii="Times New Roman" w:hAnsi="Times New Roman" w:eastAsia="宋体"/>
          <w:sz w:val="20"/>
          <w:szCs w:val="20"/>
          <w:lang w:val="en-US" w:eastAsia="zh-CN"/>
        </w:rPr>
        <w:t>对控制流程展开进一步详细描述，采用以下约定：</w:t>
      </w:r>
      <w:r>
        <w:rPr>
          <w:rFonts w:hint="eastAsia"/>
          <w:sz w:val="20"/>
          <w:szCs w:val="20"/>
        </w:rPr>
        <w:t>标量采用斜体，矢量采用粗斜体，矩阵采用粗正体；描</w:t>
      </w:r>
      <w:r>
        <w:rPr>
          <w:rFonts w:hint="eastAsia" w:ascii="Times New Roman" w:hAnsi="Times New Roman" w:eastAsia="宋体"/>
          <w:sz w:val="20"/>
          <w:szCs w:val="20"/>
        </w:rPr>
        <w:t>述性下标、单位和函数名称采用正体。上标</w:t>
      </w:r>
      <w:r>
        <w:rPr>
          <w:rFonts w:ascii="Times New Roman" w:hAnsi="Times New Roman" w:eastAsia="宋体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Times New Roman" w:hAnsi="Times New Roman" w:eastAsia="宋体"/>
            <w:sz w:val="20"/>
            <w:szCs w:val="20"/>
          </w:rPr>
          <m:t>T</m:t>
        </m:r>
      </m:oMath>
      <w:r>
        <w:rPr>
          <w:rFonts w:ascii="Times New Roman" w:hAnsi="Times New Roman" w:eastAsia="宋体"/>
          <w:sz w:val="20"/>
          <w:szCs w:val="20"/>
        </w:rPr>
        <w:t xml:space="preserve"> </w:t>
      </w:r>
      <w:r>
        <w:rPr>
          <w:rFonts w:hint="eastAsia" w:ascii="Times New Roman" w:hAnsi="Times New Roman" w:eastAsia="宋体"/>
          <w:sz w:val="20"/>
          <w:szCs w:val="20"/>
        </w:rPr>
        <w:t>表示转置，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†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表示</w:t>
      </w:r>
      <w:r>
        <w:rPr>
          <w:sz w:val="20"/>
          <w:szCs w:val="20"/>
        </w:rPr>
        <w:t xml:space="preserve"> Moore–Penrose </w:t>
      </w:r>
      <w:r>
        <w:rPr>
          <w:rFonts w:hint="eastAsia"/>
          <w:sz w:val="20"/>
          <w:szCs w:val="20"/>
        </w:rPr>
        <w:t>伪逆；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x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×</m:t>
            </m:r>
          </m:sub>
        </m:sSub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y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>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n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n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阶单位矩阵，惯性张量另记为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或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>。符号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d</m:t>
        </m:r>
      </m:oMath>
      <w:r>
        <w:rPr>
          <w:sz w:val="20"/>
          <w:szCs w:val="20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ff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和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fb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分别表示期望、前馈和反馈量。长度、时间和角度统一采用国际单位制。</w:t>
      </w:r>
      <w:r>
        <w:rPr>
          <w:rFonts w:ascii="Times New Roman" w:hAnsi="Times New Roman" w:eastAsia="宋体"/>
          <w:sz w:val="20"/>
          <w:szCs w:val="20"/>
        </w:rPr>
        <w:t>点号表示对时间求导，带期望标记时表示对应导数量的参考值；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、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、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分别表示所在坐标系的三个坐标轴单位矢量。</w:t>
      </w:r>
    </w:p>
    <w:p w14:paraId="392E0DE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定义惯性系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{s}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的竖直轴向上；机体系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{b}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固连底盘，原点位于基座中心，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x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轴向前、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轴向左、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z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轴向上。腿基系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位于第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个髋部，腿部运动平面为其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xy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平面。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将机体系分量变换至惯性系</w:t>
      </w:r>
      <w:r>
        <w:rPr>
          <w:rFonts w:hint="eastAsia"/>
          <w:sz w:val="20"/>
          <w:szCs w:val="20"/>
          <w:highlight w:val="none"/>
          <w:lang w:val="en-US" w:eastAsia="zh-CN"/>
        </w:rPr>
        <w:t>{s}</w:t>
      </w:r>
      <w:r>
        <w:rPr>
          <w:rFonts w:hint="eastAsia"/>
          <w:sz w:val="20"/>
          <w:szCs w:val="20"/>
        </w:rPr>
        <w:t>。</w:t>
      </w:r>
    </w:p>
    <w:p w14:paraId="6F10A10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 DH 基坐标系 {0} 位于机械臂底座安装基准处，固连于机器人端；遥操作映射中的从端基坐标系 {A} 与 {0} 表示同一坐标系。主手基坐标系 {D} 固连 D</w:t>
      </w:r>
      <w:r>
        <w:rPr>
          <w:rFonts w:hint="eastAsia" w:ascii="Times New Roman" w:hAnsi="Times New Roman" w:eastAsia="宋体"/>
          <w:sz w:val="20"/>
          <w:szCs w:val="20"/>
        </w:rPr>
        <w:t>elta 静平台，原点位于静平台中心，轴向按 I-D 节定义。主手位姿经坐标变换后</w:t>
      </w:r>
      <w:r>
        <w:rPr>
          <w:rFonts w:hint="eastAsia" w:ascii="Times New Roman" w:hAnsi="Times New Roman" w:eastAsia="宋体"/>
          <w:sz w:val="20"/>
          <w:szCs w:val="20"/>
          <w:lang w:val="en-US" w:eastAsia="zh-CN"/>
        </w:rPr>
        <w:t>再</w:t>
      </w:r>
      <w:r>
        <w:rPr>
          <w:rFonts w:hint="eastAsia" w:ascii="Times New Roman" w:hAnsi="Times New Roman" w:eastAsia="宋体"/>
          <w:sz w:val="20"/>
          <w:szCs w:val="20"/>
        </w:rPr>
        <w:t>用于从端逆运动学。</w:t>
      </w:r>
    </w:p>
    <w:bookmarkEnd w:id="3"/>
    <w:p w14:paraId="74A6E45F">
      <w:pPr>
        <w:pStyle w:val="3"/>
        <w:numPr>
          <w:ilvl w:val="1"/>
          <w:numId w:val="0"/>
        </w:numPr>
        <w:snapToGrid w:val="0"/>
      </w:pPr>
      <w:bookmarkStart w:id="4" w:name="b.-底盘模块"/>
      <w:r>
        <w:t xml:space="preserve">B. </w:t>
      </w:r>
      <w:r>
        <w:rPr>
          <w:rFonts w:hint="eastAsia"/>
        </w:rPr>
        <w:t>底盘模块</w:t>
      </w:r>
    </w:p>
    <w:p w14:paraId="05A1A8C5">
      <w:pPr>
        <w:pStyle w:val="4"/>
        <w:numPr>
          <w:ilvl w:val="2"/>
          <w:numId w:val="0"/>
        </w:numPr>
        <w:snapToGrid w:val="0"/>
      </w:pPr>
      <w:bookmarkStart w:id="5" w:name="概述与单腿运动学"/>
      <w:r>
        <w:t>1) 概述</w:t>
      </w:r>
    </w:p>
    <w:p w14:paraId="611F275C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底盘由基座与四条腿组成，每条腿包含轴线平行的髋部俯仰关节、膝关节和一个麦克纳姆轮，共十二个主动自由度。前后腿采用相同的几何参数，左右腿呈镜像布置。机身采用上下分层框架，</w:t>
      </w:r>
      <w:r>
        <w:rPr>
          <w:rFonts w:hint="eastAsia"/>
          <w:color w:val="FF0000"/>
          <w:sz w:val="20"/>
          <w:szCs w:val="20"/>
        </w:rPr>
        <w:t>上层以碳纤维方管和碳纤维板件构成承载结构，下层采用铝方管，并在框架内部布置电源、电气元件、线束及机械臂基座传动组件。底部导向滚轮用于辅助接触过渡并减少底面刮擦。</w:t>
      </w:r>
    </w:p>
    <w:p w14:paraId="7A1100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髋、膝关节电机</w:t>
      </w:r>
      <w:r>
        <w:rPr>
          <w:rFonts w:hint="eastAsia"/>
          <w:sz w:val="20"/>
          <w:szCs w:val="20"/>
        </w:rPr>
        <w:t>同轴集中布置于髋部，其中</w:t>
      </w:r>
      <w:r>
        <w:rPr>
          <w:rFonts w:hint="eastAsia"/>
          <w:sz w:val="20"/>
          <w:szCs w:val="20"/>
          <w:lang w:eastAsia="zh-CN"/>
        </w:rPr>
        <w:t>髋关节电机</w:t>
      </w:r>
      <w:r>
        <w:rPr>
          <w:rFonts w:hint="eastAsia"/>
          <w:sz w:val="20"/>
          <w:szCs w:val="20"/>
        </w:rPr>
        <w:t>直接驱动大腿，</w:t>
      </w:r>
      <w:r>
        <w:rPr>
          <w:rFonts w:hint="eastAsia"/>
          <w:sz w:val="20"/>
          <w:szCs w:val="20"/>
          <w:lang w:eastAsia="zh-CN"/>
        </w:rPr>
        <w:t>膝关节电机</w:t>
      </w:r>
      <w:r>
        <w:rPr>
          <w:rFonts w:hint="eastAsia"/>
          <w:sz w:val="20"/>
          <w:szCs w:val="20"/>
        </w:rPr>
        <w:t>通过平行四</w:t>
      </w:r>
      <w:r>
        <w:rPr>
          <w:rFonts w:ascii="Times New Roman" w:hAnsi="Times New Roman" w:eastAsia="宋体"/>
          <w:sz w:val="20"/>
          <w:szCs w:val="20"/>
        </w:rPr>
        <w:t>边形连杆向小腿传递运动与力矩。该布置使膝部无需安装随腿摆动的驱动电机，并使轮心定位可采用等效二转动关节模型描述。</w:t>
      </w:r>
    </w:p>
    <w:p w14:paraId="7A1100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控制采用“单腿建模—整机合力分配—关节执行”的分层结构。腿部关节调整支撑高度与前后轮心位置，车轮负责平面滚动。</w:t>
      </w:r>
    </w:p>
    <w:p w14:paraId="6F10B002">
      <w:pPr>
        <w:pStyle w:val="4"/>
        <w:numPr>
          <w:ilvl w:val="2"/>
          <w:numId w:val="0"/>
        </w:numPr>
        <w:snapToGrid w:val="0"/>
      </w:pPr>
      <w:r>
        <w:t>2) 单腿运动学</w:t>
      </w:r>
    </w:p>
    <w:p w14:paraId="01C2989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设单腿关节角为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，大腿和小腿长度为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rFonts w:hint="eastAsia"/>
          <w:sz w:val="20"/>
          <w:szCs w:val="20"/>
        </w:rPr>
        <w:t>；轮心位置为</w:t>
      </w:r>
      <w:r>
        <w:rPr>
          <w:sz w:val="20"/>
          <w:szCs w:val="20"/>
        </w:rPr>
        <w:t xml:space="preserve"> </w:t>
      </w:r>
      <m:oMath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。本文以轮轴中心作为单腿运动学的末端参考点，并与轮地触点区分。零位为两连杆沿腿基系负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轴伸直，关节角正向由下式确定。几何参数见</w:t>
      </w:r>
      <w:r>
        <w:rPr>
          <w:sz w:val="20"/>
          <w:szCs w:val="20"/>
        </w:rPr>
        <w:t xml:space="preserve"> TABLE </w:t>
      </w:r>
      <w:r>
        <w:rPr>
          <w:rFonts w:hint="eastAsia"/>
          <w:sz w:val="20"/>
          <w:szCs w:val="20"/>
        </w:rPr>
        <w:t>I，Fig.</w:t>
      </w:r>
      <w:r>
        <w:rPr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给出单腿结构与坐标系示意。</w:t>
      </w:r>
    </w:p>
    <w:p w14:paraId="0B118FC6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1619885" cy="2446655"/>
            <wp:effectExtent l="0" t="0" r="8890" b="1270"/>
            <wp:docPr id="24" name="Fig. 3" descr="单腿结构与坐标系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. 3" descr="单腿结构与坐标系示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6D78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3. </w:t>
      </w:r>
      <w:r>
        <w:rPr>
          <w:rFonts w:hint="eastAsia"/>
          <w:iCs/>
        </w:rPr>
        <w:t>单腿结构与坐标系示意（图中角度标记表示机构几何关系，解算零位以正文为准）。</w:t>
      </w:r>
    </w:p>
    <w:p w14:paraId="38AB9F18">
      <w:pPr>
        <w:pStyle w:val="28"/>
        <w:keepNext/>
        <w:numPr>
          <w:ilvl w:val="0"/>
          <w:numId w:val="0"/>
        </w:numPr>
        <w:snapToGrid w:val="0"/>
      </w:pPr>
      <w:r>
        <w:rPr>
          <w:bCs/>
        </w:rPr>
        <w:t xml:space="preserve">TABLE I. </w:t>
      </w:r>
      <w:r>
        <w:rPr>
          <w:rFonts w:hint="eastAsia"/>
          <w:bCs/>
        </w:rPr>
        <w:t>单腿几何与传动参数</w:t>
      </w:r>
    </w:p>
    <w:tbl>
      <w:tblPr>
        <w:tblStyle w:val="10"/>
        <w:tblW w:w="48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  <w:gridCol w:w="1622"/>
      </w:tblGrid>
      <w:tr w14:paraId="63A19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22" w:type="dxa"/>
          </w:tcPr>
          <w:p w14:paraId="0CCFCAD1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符号</w:t>
            </w:r>
          </w:p>
        </w:tc>
        <w:tc>
          <w:tcPr>
            <w:tcW w:w="1622" w:type="dxa"/>
          </w:tcPr>
          <w:p w14:paraId="083BD52D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数值或单位</w:t>
            </w:r>
          </w:p>
        </w:tc>
        <w:tc>
          <w:tcPr>
            <w:tcW w:w="1622" w:type="dxa"/>
          </w:tcPr>
          <w:p w14:paraId="2AA1B208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定义</w:t>
            </w:r>
          </w:p>
        </w:tc>
      </w:tr>
      <w:tr w14:paraId="33053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498C22E1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5781D1CC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0.170 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3617E046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大腿关节中心距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14:paraId="6510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332A985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5CF29403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0.220 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7D3715F6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小腿关节中心距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14:paraId="336D580A">
        <w:trPr>
          <w:cantSplit/>
        </w:trPr>
        <w:tc>
          <w:tcPr>
            <w:tcW w:w="1622" w:type="dxa"/>
          </w:tcPr>
          <w:p w14:paraId="4DC9C8BB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76C5890D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rad</m:t>
                </m:r>
              </m:oMath>
            </m:oMathPara>
          </w:p>
        </w:tc>
        <w:tc>
          <w:tcPr>
            <w:tcW w:w="1622" w:type="dxa"/>
          </w:tcPr>
          <w:p w14:paraId="1ABC168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等效串联关节角</w:t>
            </w:r>
          </w:p>
        </w:tc>
      </w:tr>
      <w:tr w14:paraId="76CE8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5859855E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6F9D69D2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rad</m:t>
                </m:r>
              </m:oMath>
            </m:oMathPara>
          </w:p>
        </w:tc>
        <w:tc>
          <w:tcPr>
            <w:tcW w:w="1622" w:type="dxa"/>
          </w:tcPr>
          <w:p w14:paraId="0DB6DF48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两路髋部驱动输出轴角</w:t>
            </w:r>
          </w:p>
        </w:tc>
      </w:tr>
      <w:tr w14:paraId="4DB28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761F4959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372BBB3D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0.547 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kg</m:t>
                </m:r>
              </m:oMath>
            </m:oMathPara>
          </w:p>
        </w:tc>
        <w:tc>
          <w:tcPr>
            <w:tcW w:w="1622" w:type="dxa"/>
          </w:tcPr>
          <w:p w14:paraId="69602A6F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单轮模型质量</w:t>
            </w:r>
          </w:p>
        </w:tc>
      </w:tr>
      <w:tr w14:paraId="5C436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4FEDFE37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09FEA26A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hint="eastAsia" w:hAnsi="Cambria Math" w:cs="Cambria Math"/>
                <w:b w:val="0"/>
                <w:i w:val="0"/>
                <w:sz w:val="16"/>
                <w:szCs w:val="16"/>
                <w:lang w:val="en-US" w:eastAsia="zh-CN"/>
              </w:rPr>
              <w:t>0.07 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>m</m:t>
              </m:r>
            </m:oMath>
          </w:p>
        </w:tc>
        <w:tc>
          <w:tcPr>
            <w:tcW w:w="1622" w:type="dxa"/>
          </w:tcPr>
          <w:p w14:paraId="7CE2266D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车轮有效滚动半径</w:t>
            </w:r>
          </w:p>
        </w:tc>
      </w:tr>
    </w:tbl>
    <w:p w14:paraId="47302B5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忽略连杆弹性，单腿正运动学为</w:t>
      </w:r>
    </w:p>
    <w:tbl>
      <w:tblPr>
        <w:tblStyle w:val="10"/>
        <w:tblW w:w="4866" w:type="dxa"/>
        <w:tblCaption w:val="Equation 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E2EF36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0776CAE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cos(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2292553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(1)</w:t>
            </w:r>
          </w:p>
        </w:tc>
      </w:tr>
    </w:tbl>
    <w:p w14:paraId="099A10C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采用轮心位于髋部下方的几何逆解分支，定义</w:t>
      </w:r>
    </w:p>
    <w:tbl>
      <w:tblPr>
        <w:tblStyle w:val="10"/>
        <w:tblW w:w="4866" w:type="dxa"/>
        <w:tblCaption w:val="Equation 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F998F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A9DE8CB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178AB10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(2)</w:t>
            </w:r>
          </w:p>
        </w:tc>
      </w:tr>
    </w:tbl>
    <w:p w14:paraId="08960C3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hint="eastAsia"/>
          <w:sz w:val="20"/>
          <w:szCs w:val="20"/>
        </w:rPr>
        <w:t>，有</w:t>
      </w:r>
    </w:p>
    <w:tbl>
      <w:tblPr>
        <w:tblStyle w:val="10"/>
        <w:tblW w:w="4866" w:type="dxa"/>
        <w:tblCaption w:val="Equation 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A0B1A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0432141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π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</m:t>
                    </m:r>
                    <m:d>
                      <m:dPr>
                        <m:sepChr m:val=""/>
                      </m:dPr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sin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 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cos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E9B51B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(3)</w:t>
            </w:r>
          </w:p>
        </w:tc>
      </w:tr>
    </w:tbl>
    <w:p w14:paraId="572E77C1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>逆解要求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|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|≤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≤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且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&gt;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rFonts w:hint="eastAsia" w:hAnsi="Cambria Math" w:cs="Cambria Math"/>
          <w:i w:val="0"/>
          <w:sz w:val="20"/>
          <w:szCs w:val="20"/>
          <w:lang w:eastAsia="zh-CN"/>
        </w:rPr>
        <w:t>。</w:t>
      </w:r>
    </w:p>
    <w:p w14:paraId="5EADEF9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以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=cos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=cos(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=sin(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简记，轮心雅可比为</w:t>
      </w:r>
    </w:p>
    <w:tbl>
      <w:tblPr>
        <w:tblStyle w:val="10"/>
        <w:tblW w:w="4866" w:type="dxa"/>
        <w:tblCaption w:val="Equation 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7F425DAE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490794E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325C16F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(4)</w:t>
            </w:r>
          </w:p>
        </w:tc>
      </w:tr>
      <w:bookmarkEnd w:id="5"/>
    </w:tbl>
    <w:p w14:paraId="0DA70F03">
      <w:pPr>
        <w:pStyle w:val="4"/>
        <w:numPr>
          <w:ilvl w:val="2"/>
          <w:numId w:val="0"/>
        </w:numPr>
        <w:snapToGrid w:val="0"/>
      </w:pPr>
      <w:bookmarkStart w:id="6" w:name="麦克纳姆轮运动学"/>
      <w:r>
        <w:t>3) 麦克纳姆轮运动学</w:t>
      </w:r>
    </w:p>
    <w:p w14:paraId="1A69181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麦克纳姆轮由主动轮毂和沿轮缘分布的被动辊子组成，辊子手性决定侧向速度与轮毂转速之间的符号关系。Fig.</w:t>
      </w:r>
      <w:r>
        <w:rPr>
          <w:sz w:val="20"/>
          <w:szCs w:val="20"/>
        </w:rPr>
        <w:t xml:space="preserve"> 4 </w:t>
      </w:r>
      <w:r>
        <w:rPr>
          <w:rFonts w:hint="eastAsia"/>
          <w:sz w:val="20"/>
          <w:szCs w:val="20"/>
        </w:rPr>
        <w:t>给出两种轮体结构。与普通车轮相比，被动辊子允许接触点沿特定方向运动，四轮适当配置后可产生前进、侧移和偏航运动。</w:t>
      </w:r>
    </w:p>
    <w:tbl>
      <w:tblPr>
        <w:tblStyle w:val="10"/>
        <w:tblW w:w="47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380"/>
        <w:gridCol w:w="2380"/>
      </w:tblGrid>
      <w:tr w14:paraId="3EC7A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cantSplit/>
          <w:jc w:val="center"/>
        </w:trPr>
        <w:tc>
          <w:tcPr>
            <w:tcW w:w="2380" w:type="dxa"/>
            <w:vAlign w:val="top"/>
          </w:tcPr>
          <w:p w14:paraId="0565082C">
            <w:pPr>
              <w:keepNext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drawing>
                <wp:inline distT="0" distB="0" distL="0" distR="0">
                  <wp:extent cx="1439545" cy="467995"/>
                  <wp:effectExtent l="0" t="0" r="5080" b="6985"/>
                  <wp:docPr id="20" name="Picture" descr="Fig. 4(a). A 型麦克纳姆轮结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Fig. 4(a). A 型麦克纳姆轮结构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4706" t="17564" r="8015" b="15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A4174">
            <w:pPr>
              <w:pStyle w:val="18"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t xml:space="preserve">Fig. 4(a). A </w:t>
            </w:r>
            <w:r>
              <w:rPr>
                <w:rFonts w:hint="eastAsia"/>
              </w:rPr>
              <w:t>型麦克纳姆轮结构。</w:t>
            </w:r>
          </w:p>
        </w:tc>
        <w:tc>
          <w:tcPr>
            <w:tcW w:w="2380" w:type="dxa"/>
            <w:vAlign w:val="top"/>
          </w:tcPr>
          <w:p w14:paraId="37442ACE">
            <w:pPr>
              <w:keepNext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drawing>
                <wp:inline distT="0" distB="0" distL="0" distR="0">
                  <wp:extent cx="1439545" cy="461010"/>
                  <wp:effectExtent l="0" t="0" r="0" b="0"/>
                  <wp:docPr id="23" name="Picture" descr="Fig. 4(b). B 型麦克纳姆轮结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Fig. 4(b). B 型麦克纳姆轮结构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1875">
            <w:pPr>
              <w:pStyle w:val="18"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t xml:space="preserve">Fig. 4(b). B </w:t>
            </w:r>
            <w:r>
              <w:rPr>
                <w:rFonts w:hint="eastAsia"/>
              </w:rPr>
              <w:t>型麦克纳姆轮结构。</w:t>
            </w:r>
          </w:p>
        </w:tc>
      </w:tr>
    </w:tbl>
    <w:p w14:paraId="21D146DD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用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v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表示第 i 个轮心相对惯性系的速度，其分量在机体系中表示。</w:t>
      </w:r>
      <w:r>
        <w:rPr>
          <w:rFonts w:hint="eastAsia"/>
          <w:sz w:val="20"/>
          <w:szCs w:val="20"/>
        </w:rPr>
        <w:t>从俯视图左前轮起逆时针编号：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3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依次为左前、左后、右后、右前。令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为机体系下的轮心位置，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为基座原点速度，机身角速度为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hint="eastAsia"/>
          <w:sz w:val="20"/>
          <w:szCs w:val="20"/>
        </w:rPr>
        <w:t>。在基座水平、各腿相对基座静止的假设下，所有分量均在机体系表示，有</w:t>
      </w:r>
    </w:p>
    <w:tbl>
      <w:tblPr>
        <w:tblStyle w:val="10"/>
        <w:tblW w:w="4866" w:type="dxa"/>
        <w:tblCaption w:val="Equation 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2122B5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E6273D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×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BE23C3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(5)</w:t>
            </w:r>
          </w:p>
        </w:tc>
      </w:tr>
    </w:tbl>
    <w:p w14:paraId="132076A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轮毂自转角速度标量记为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i w:val="0"/>
          <w:lang w:eastAsia="zh-CN"/>
        </w:rPr>
        <w:t>，</w:t>
      </w:r>
      <w:r>
        <w:rPr>
          <w:rFonts w:hint="eastAsia"/>
          <w:sz w:val="20"/>
          <w:szCs w:val="20"/>
        </w:rPr>
        <w:t>定义轮轴单位矢量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、滚动单位矢量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，并规定正轮速使轮毂在接触点产生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的速度。令辊子自由滚动方向和轴线方向分别为</w:t>
      </w:r>
    </w:p>
    <w:tbl>
      <w:tblPr>
        <w:tblStyle w:val="10"/>
        <w:tblW w:w="4866" w:type="dxa"/>
        <w:tblCaption w:val="Equation 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1264D16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291E40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F91DCD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(6)</w:t>
            </w:r>
          </w:p>
        </w:tc>
      </w:tr>
    </w:tbl>
    <w:p w14:paraId="5A13411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ϑ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=±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π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/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为从轮轴方向到辊子自由滚动方向的有向角。理想接触下，沿辊子轴线的相对滑动为零，即</w:t>
      </w:r>
    </w:p>
    <w:tbl>
      <w:tblPr>
        <w:tblStyle w:val="10"/>
        <w:tblW w:w="4866" w:type="dxa"/>
        <w:tblCaption w:val="Equation 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EA6B6EE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64029B5A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2146FAC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(7)</w:t>
            </w:r>
          </w:p>
        </w:tc>
      </w:tr>
    </w:tbl>
    <w:p w14:paraId="48BD912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消去被动辊子速度后得到</w:t>
      </w:r>
    </w:p>
    <w:tbl>
      <w:tblPr>
        <w:tblStyle w:val="10"/>
        <w:tblW w:w="4866" w:type="dxa"/>
        <w:tblCaption w:val="Equation 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1BD55B82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7A36138E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⋅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−(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⋅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)tan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4740B4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(8)</w:t>
            </w:r>
          </w:p>
        </w:tc>
      </w:tr>
    </w:tbl>
    <w:p w14:paraId="2767EC83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szCs w:val="20"/>
          <w:lang w:eastAsia="zh-CN"/>
        </w:rPr>
      </w:pPr>
      <w:r>
        <w:rPr>
          <w:rFonts w:hint="default"/>
          <w:sz w:val="20"/>
          <w:szCs w:val="20"/>
        </w:rPr>
        <w:t>(8)</w:t>
      </w:r>
      <w:r>
        <w:rPr>
          <w:rFonts w:hint="eastAsia"/>
          <w:sz w:val="20"/>
          <w:szCs w:val="20"/>
          <w:lang w:eastAsia="zh-CN"/>
        </w:rPr>
        <w:t>即为麦克纳姆轮底盘的逆运动学模型，可将机体速度映射为轮电机的角速度。</w:t>
      </w:r>
    </w:p>
    <w:bookmarkEnd w:id="6"/>
    <w:p w14:paraId="5844043D">
      <w:pPr>
        <w:pStyle w:val="4"/>
        <w:numPr>
          <w:ilvl w:val="2"/>
          <w:numId w:val="0"/>
        </w:numPr>
        <w:snapToGrid w:val="0"/>
      </w:pPr>
      <w:bookmarkStart w:id="7" w:name="轮体动力学与足端力映射"/>
      <w:r>
        <w:t xml:space="preserve">4) </w:t>
      </w:r>
      <w:r>
        <w:rPr>
          <w:rFonts w:hint="eastAsia"/>
          <w:lang w:eastAsia="zh-CN"/>
        </w:rPr>
        <w:t>麦克纳姆轮</w:t>
      </w:r>
      <w:r>
        <w:t>动力学与足端力映射</w:t>
      </w:r>
    </w:p>
    <w:p w14:paraId="25E699F4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因为</w:t>
      </w:r>
      <w:r>
        <w:rPr>
          <w:rFonts w:hint="eastAsia"/>
          <w:sz w:val="20"/>
          <w:szCs w:val="20"/>
        </w:rPr>
        <w:t>直接对所有连杆求解完整动力学会增加参数标定与实时计算负担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本文采用分层建模方法，先对具有独立质量的轮体建模，再通过虚功原理将</w:t>
      </w:r>
      <w:r>
        <w:rPr>
          <w:rFonts w:hint="eastAsia"/>
          <w:sz w:val="20"/>
          <w:szCs w:val="20"/>
          <w:lang w:eastAsia="zh-CN"/>
        </w:rPr>
        <w:t>足端接触力</w:t>
      </w:r>
      <w:r>
        <w:rPr>
          <w:rFonts w:hint="eastAsia"/>
          <w:sz w:val="20"/>
          <w:szCs w:val="20"/>
        </w:rPr>
        <w:t>映射到腿部</w:t>
      </w:r>
      <w:r>
        <w:rPr>
          <w:rFonts w:hint="eastAsia"/>
          <w:sz w:val="20"/>
          <w:szCs w:val="20"/>
          <w:lang w:eastAsia="zh-CN"/>
        </w:rPr>
        <w:t>关节电机</w:t>
      </w:r>
      <w:r>
        <w:rPr>
          <w:rFonts w:hint="eastAsia"/>
          <w:sz w:val="20"/>
          <w:szCs w:val="20"/>
        </w:rPr>
        <w:t>。Fig. 5 给出轮受力示意图。</w:t>
      </w:r>
    </w:p>
    <w:p w14:paraId="009A5309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879725" cy="2032635"/>
            <wp:effectExtent l="0" t="0" r="0" b="0"/>
            <wp:docPr id="25" name="Fig. 5" descr="车轮受力示意图：接触力、轴端作用力、重力、驱动力矩与力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. 5" descr="车轮受力示意图：接触力、轴端作用力、重力、驱动力矩与力臂"/>
                    <pic:cNvPicPr>
                      <a:picLocks noChangeAspect="1"/>
                    </pic:cNvPicPr>
                  </pic:nvPicPr>
                  <pic:blipFill>
                    <a:blip r:embed="rId10"/>
                    <a:srcRect b="1164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694F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5. </w:t>
      </w:r>
      <w:r>
        <w:rPr>
          <w:rFonts w:hint="eastAsia"/>
          <w:iCs/>
        </w:rPr>
        <w:t>轮受力示意图：地面接触力、轴端作用力、重力、驱动力矩及轮心至接触点的力臂。</w:t>
      </w:r>
    </w:p>
    <w:p w14:paraId="1BD32F3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为地面对轮的作用力，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为小腿对轮的作用力，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为轮质心加速度，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为重力加速度矢量。在同一坐标系下，牛顿方程给出</w:t>
      </w:r>
    </w:p>
    <w:tbl>
      <w:tblPr>
        <w:tblStyle w:val="10"/>
        <w:tblW w:w="4866" w:type="dxa"/>
        <w:tblCaption w:val="Equation 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8F53CB0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42B34646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08E62D4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(9)</w:t>
            </w:r>
          </w:p>
        </w:tc>
      </w:tr>
    </w:tbl>
    <w:p w14:paraId="2500CDD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ce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为轮质心指向触点的力臂，轮轴正向单位矢量为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ax</m:t>
            </m:r>
          </m:sub>
        </m:sSub>
      </m:oMath>
      <w:r>
        <w:rPr>
          <w:rFonts w:hint="eastAsia"/>
          <w:sz w:val="20"/>
          <w:szCs w:val="20"/>
        </w:rPr>
        <w:t>，则轮电机轴向驱动力矩为</w:t>
      </w:r>
    </w:p>
    <w:tbl>
      <w:tblPr>
        <w:tblStyle w:val="10"/>
        <w:tblW w:w="4866" w:type="dxa"/>
        <w:tblCaption w:val="Equation 1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4A53A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262612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(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×(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×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DA5BE6F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(10)</w:t>
            </w:r>
          </w:p>
        </w:tc>
      </w:tr>
    </w:tbl>
    <w:p w14:paraId="0D73C8B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为轮关于质心的惯性张量，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为轮体相对惯性系的角速度，</w:t>
      </w:r>
      <m:oMath>
        <m:sSub>
          <m:sSubPr/>
          <m:e>
            <m:acc>
              <m:accPr>
                <m:chr m:val="̇"/>
              </m:accPr>
              <m:e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为角加速度；上述量均以同一坐标系的分量参与运算。</w:t>
      </w:r>
    </w:p>
    <w:p w14:paraId="3607322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设腿部等效关节角与驱动输出轴角满足</w:t>
      </w:r>
    </w:p>
    <w:tbl>
      <w:tblPr>
        <w:tblStyle w:val="10"/>
        <w:tblW w:w="4866" w:type="dxa"/>
        <w:tblCaption w:val="Equation 1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214B4C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D19EE5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tr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  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279D44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(11)</w:t>
            </w:r>
          </w:p>
        </w:tc>
      </w:tr>
    </w:tbl>
    <w:p w14:paraId="1F77E9B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表示虚关节位移。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功率共轭的广义力矩，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共轭的驱动力矩。轮对小腿的力为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hint="eastAsia"/>
          <w:sz w:val="20"/>
          <w:szCs w:val="20"/>
        </w:rPr>
        <w:t>，反作用轴向力矩为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hint="eastAsia"/>
          <w:sz w:val="20"/>
          <w:szCs w:val="20"/>
        </w:rPr>
        <w:t>；选取与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正向一致的轴向标量后，虚功平衡为</w:t>
      </w:r>
    </w:p>
    <w:tbl>
      <w:tblPr>
        <w:tblStyle w:val="10"/>
        <w:tblW w:w="4866" w:type="dxa"/>
        <w:tblCaption w:val="Equation 1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0DEA7A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2ACDA91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​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J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A60E4B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(12)</w:t>
            </w:r>
          </w:p>
        </w:tc>
      </w:tr>
    </w:tbl>
    <w:p w14:paraId="5DFC830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因此，在忽略腿杆重力与惯性时，</w:t>
      </w:r>
    </w:p>
    <w:tbl>
      <w:tblPr>
        <w:tblStyle w:val="10"/>
        <w:tblW w:w="4866" w:type="dxa"/>
        <w:tblCaption w:val="Equation 1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71B51E9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293CF8F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J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η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tr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8D7332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(13)</w:t>
            </w:r>
          </w:p>
        </w:tc>
      </w:tr>
    </w:tbl>
    <w:p w14:paraId="0AE09764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>第二式来自</w:t>
      </w:r>
      <w:r>
        <w:rPr>
          <w:sz w:val="20"/>
          <w:szCs w:val="20"/>
        </w:rPr>
        <w:t xml:space="preserve"> </w:t>
      </w:r>
      <m:oMath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hint="eastAsia"/>
          <w:sz w:val="20"/>
          <w:szCs w:val="20"/>
        </w:rPr>
        <w:t>，使用传动矩阵的转置。</w:t>
      </w:r>
      <w:r>
        <w:rPr>
          <w:rFonts w:hint="eastAsia"/>
          <w:sz w:val="20"/>
          <w:szCs w:val="20"/>
          <w:lang w:eastAsia="zh-CN"/>
        </w:rPr>
        <w:t>其中</w:t>
      </w:r>
      <m:oMath>
        <m:sSub>
          <m:sSubPr>
            <m:ctrlPr>
              <w:rPr>
                <w:rFonts w:hint="eastAsia" w:ascii="Cambria Math" w:hAnsi="Cambria Math"/>
                <w:sz w:val="20"/>
                <w:szCs w:val="20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  <w:lang w:eastAsia="zh-CN"/>
              </w:rPr>
              <m:t>τ</m:t>
            </m:r>
            <m:ctrlPr>
              <w:rPr>
                <w:rFonts w:hint="eastAsia" w:ascii="Cambria Math" w:hAnsi="Cambria Math"/>
                <w:sz w:val="20"/>
                <w:szCs w:val="20"/>
                <w:lang w:eastAsia="zh-CN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  <w:lang w:eastAsia="zh-CN"/>
              </w:rPr>
              <m:t>η</m:t>
            </m:r>
            <m:ctrlPr>
              <w:rPr>
                <w:rFonts w:hint="eastAsia" w:ascii="Cambria Math" w:hAnsi="Cambria Math"/>
                <w:sz w:val="20"/>
                <w:szCs w:val="20"/>
                <w:lang w:eastAsia="zh-CN"/>
              </w:rPr>
            </m:ctrlPr>
          </m:sub>
        </m:sSub>
      </m:oMath>
      <w:r>
        <w:rPr>
          <w:rFonts w:hint="eastAsia"/>
          <w:sz w:val="20"/>
          <w:szCs w:val="20"/>
          <w:lang w:eastAsia="zh-CN"/>
        </w:rPr>
        <w:t>为腿部关节电机的输出力矩。</w:t>
      </w:r>
    </w:p>
    <w:bookmarkEnd w:id="7"/>
    <w:p w14:paraId="5DC355BB">
      <w:pPr>
        <w:pStyle w:val="4"/>
        <w:numPr>
          <w:ilvl w:val="2"/>
          <w:numId w:val="0"/>
        </w:numPr>
        <w:snapToGrid w:val="0"/>
      </w:pPr>
      <w:bookmarkStart w:id="8" w:name="整机单刚体动力学"/>
      <w:r>
        <w:t>5) 整机单刚体动力学</w:t>
      </w:r>
    </w:p>
    <w:p w14:paraId="7686BD0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考虑到底盘快速运动时机械臂通常相对底盘静止，因此在进行底盘的动力学建模时，可以</w:t>
      </w:r>
      <w:r>
        <w:rPr>
          <w:rFonts w:hint="eastAsia"/>
          <w:sz w:val="20"/>
          <w:szCs w:val="20"/>
        </w:rPr>
        <w:t>将</w:t>
      </w:r>
      <w:r>
        <w:rPr>
          <w:rFonts w:hint="eastAsia"/>
          <w:sz w:val="20"/>
          <w:szCs w:val="20"/>
          <w:lang w:eastAsia="zh-CN"/>
        </w:rPr>
        <w:t>底盘与机械臂</w:t>
      </w:r>
      <w:r>
        <w:rPr>
          <w:rFonts w:hint="eastAsia"/>
          <w:sz w:val="20"/>
          <w:szCs w:val="20"/>
        </w:rPr>
        <w:t>作为具有等效质量和惯量的系统，</w:t>
      </w:r>
      <w:r>
        <w:rPr>
          <w:rFonts w:hint="eastAsia"/>
          <w:sz w:val="20"/>
          <w:szCs w:val="20"/>
          <w:lang w:eastAsia="zh-CN"/>
        </w:rPr>
        <w:t>整个机器人近似为单刚体</w:t>
      </w:r>
      <w:r>
        <w:rPr>
          <w:rFonts w:hint="eastAsia"/>
          <w:sz w:val="20"/>
          <w:szCs w:val="20"/>
        </w:rPr>
        <w:t xml:space="preserve">。整机质量记为 </w:t>
      </w:r>
      <m:oMath>
        <m:r>
          <m:rPr>
            <m:sty m:val="p"/>
          </m:rPr>
          <w:rPr>
            <w:rFonts w:hint="eastAsia"/>
            <w:sz w:val="20"/>
            <w:szCs w:val="20"/>
          </w:rPr>
          <m:t>m</m:t>
        </m:r>
      </m:oMath>
      <w:r>
        <w:rPr>
          <w:rFonts w:hint="eastAsia"/>
          <w:sz w:val="20"/>
          <w:szCs w:val="20"/>
        </w:rPr>
        <w:t xml:space="preserve">，质心加速度为 </w:t>
      </w:r>
      <m:oMath>
        <m:sSub>
          <m:sSubPr>
            <m:ctrlPr>
              <w:rPr>
                <w:rFonts w:hint="eastAsia"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a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G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sub>
        </m:sSub>
      </m:oMath>
      <w:r>
        <w:rPr>
          <w:rFonts w:hint="eastAsia"/>
          <w:sz w:val="20"/>
          <w:szCs w:val="20"/>
        </w:rPr>
        <w:t>；</w:t>
      </w:r>
      <m:oMath>
        <m:sSub>
          <m:sSubPr>
            <m:ctrlPr>
              <w:rPr>
                <w:rFonts w:hint="eastAsia"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r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e,i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sub>
        </m:sSub>
      </m:oMath>
      <w:r>
        <w:rPr>
          <w:rFonts w:hint="eastAsia"/>
          <w:sz w:val="20"/>
          <w:szCs w:val="20"/>
        </w:rPr>
        <w:t xml:space="preserve"> 为质心指向第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个触点的矢量。Fig.</w:t>
      </w:r>
      <w:r>
        <w:rPr>
          <w:sz w:val="20"/>
          <w:szCs w:val="20"/>
        </w:rPr>
        <w:t xml:space="preserve"> 6 </w:t>
      </w:r>
      <w:r>
        <w:rPr>
          <w:rFonts w:hint="eastAsia"/>
          <w:sz w:val="20"/>
          <w:szCs w:val="20"/>
        </w:rPr>
        <w:t>基于底盘立体构型给出接触力和质心的示意图。</w:t>
      </w:r>
    </w:p>
    <w:p w14:paraId="745AD3FA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143125"/>
            <wp:effectExtent l="0" t="0" r="0" b="0"/>
            <wp:docPr id="26" name="Fig. 6" descr="基于底盘立体构型的整机质心与四轮接触力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. 6" descr="基于底盘立体构型的整机质心与四轮接触力示意图"/>
                    <pic:cNvPicPr>
                      <a:picLocks noChangeAspect="1"/>
                    </pic:cNvPicPr>
                  </pic:nvPicPr>
                  <pic:blipFill>
                    <a:blip r:embed="rId11"/>
                    <a:srcRect t="2795" b="38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B6DF">
      <w:pPr>
        <w:pStyle w:val="18"/>
        <w:numPr>
          <w:ilvl w:val="0"/>
          <w:numId w:val="0"/>
        </w:numPr>
        <w:snapToGrid w:val="0"/>
        <w:rPr>
          <w:rFonts w:hint="eastAsia" w:eastAsia="宋体"/>
          <w:lang w:eastAsia="zh-CN"/>
        </w:rPr>
      </w:pPr>
      <w:r>
        <w:rPr>
          <w:iCs/>
        </w:rPr>
        <w:t xml:space="preserve">Fig. 6. </w:t>
      </w:r>
      <w:r>
        <w:rPr>
          <w:rFonts w:hint="eastAsia"/>
          <w:iCs/>
        </w:rPr>
        <w:t>基于底盘立体构型的整机质心与四轮接触力示意。各接触力以竖直箭头示意其作用位置；选取第 i 个触点标注接触力及质心至触点的力臂。</w:t>
      </w:r>
    </w:p>
    <w:p w14:paraId="4191046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将整机动力学方程统一写在惯性系下。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ω</m:t>
        </m:r>
      </m:oMath>
      <w:r>
        <w:rPr>
          <w:rFonts w:ascii="Times New Roman" w:hAnsi="Times New Roman" w:eastAsia="宋体"/>
          <w:sz w:val="20"/>
          <w:szCs w:val="20"/>
        </w:rPr>
        <w:t xml:space="preserve"> 为机身角速度，</w:t>
      </w:r>
      <m:oMath>
        <m:acc>
          <m:accPr>
            <m:chr m:val="̇"/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</m:acc>
      </m:oMath>
      <w:r>
        <w:rPr>
          <w:rFonts w:ascii="Times New Roman" w:hAnsi="Times New Roman" w:eastAsia="宋体"/>
          <w:sz w:val="20"/>
          <w:szCs w:val="20"/>
        </w:rPr>
        <w:t xml:space="preserve"> 为角加速度，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为以机体系分量表示的整机质心惯性张量。惯性张量变换为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</m:sSub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</m:oMath>
      <w:r>
        <w:rPr>
          <w:rFonts w:ascii="Times New Roman" w:hAnsi="Times New Roman" w:eastAsia="宋体"/>
          <w:sz w:val="20"/>
          <w:szCs w:val="20"/>
        </w:rPr>
        <w:t>。令</w:t>
      </w:r>
    </w:p>
    <w:tbl>
      <w:tblPr>
        <w:tblStyle w:val="10"/>
        <w:tblW w:w="4866" w:type="dxa"/>
        <w:tblCaption w:val="Equation 1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BF4406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332C07A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BEC116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(14)</w:t>
            </w:r>
          </w:p>
        </w:tc>
      </w:tr>
      <w:tr w14:paraId="7469348A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FB0AD9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dyn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sub>
                              </m:sSub>
                              <m:acc>
                                <m:accPr>
                                  <m:chr m:val="̇"/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×(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=[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,…,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75207D61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(15)</w:t>
            </w:r>
          </w:p>
        </w:tc>
      </w:tr>
    </w:tbl>
    <w:p w14:paraId="2D10216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其中，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</m:oMath>
      <w:r>
        <w:rPr>
          <w:rFonts w:ascii="Times New Roman" w:hAnsi="Times New Roman" w:eastAsia="宋体"/>
          <w:sz w:val="20"/>
          <w:szCs w:val="20"/>
        </w:rPr>
        <w:t xml:space="preserve"> 将各接触力映射为整机合力与合力矩，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为四轮接触力的堆叠向量，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dyn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为所需接触合力与合力矩组成的向量。</w:t>
      </w:r>
      <w:r>
        <w:rPr>
          <w:rFonts w:hint="eastAsia"/>
          <w:sz w:val="20"/>
          <w:szCs w:val="20"/>
        </w:rPr>
        <w:t>牛顿与欧拉方程可以写为</w:t>
      </w:r>
    </w:p>
    <w:tbl>
      <w:tblPr>
        <w:tblStyle w:val="10"/>
        <w:tblW w:w="4866" w:type="dxa"/>
        <w:tblCaption w:val="Equation 1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2B85BF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3FE746F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5B7C8E4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(16)</w:t>
            </w:r>
          </w:p>
        </w:tc>
      </w:tr>
    </w:tbl>
    <w:p w14:paraId="24DF068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</w:t>
      </w:r>
      <w:r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∈</m:t>
        </m:r>
        <m:sSup>
          <m:sSupPr/>
          <m:e>
            <m:r>
              <m:rPr>
                <m:sty m:val="p"/>
                <m:scr m:val="double-struck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ℝ</m:t>
            </m:r>
          </m:e>
          <m:sup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6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×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p>
        </m:sSup>
      </m:oMath>
      <w:r>
        <w:rPr>
          <w:rFonts w:hint="eastAsia"/>
          <w:sz w:val="20"/>
          <w:szCs w:val="20"/>
        </w:rPr>
        <w:t>。低速计算可忽略</w:t>
      </w:r>
      <w:r>
        <w:rPr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×(</m:t>
        </m:r>
        <m:sSub>
          <m:sSubPr>
            <m:ctrlPr>
              <w:rPr>
                <w:rFonts w:hint="eastAsia"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I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s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sub>
        </m:sSub>
        <m:r>
          <m:rPr>
            <m:sty m:val="p"/>
          </m:rPr>
          <w:rPr>
            <w:rFonts w:hint="eastAsia"/>
            <w:sz w:val="20"/>
            <w:szCs w:val="20"/>
          </w:rPr>
          <m:t>ω)</m:t>
        </m:r>
      </m:oMath>
      <w:r>
        <w:rPr>
          <w:rFonts w:hint="eastAsia"/>
          <w:sz w:val="20"/>
          <w:szCs w:val="20"/>
        </w:rPr>
        <w:t>；</w:t>
      </w:r>
      <w:r>
        <w:rPr>
          <w:rFonts w:hint="eastAsia"/>
          <w:sz w:val="20"/>
          <w:szCs w:val="20"/>
          <w:lang w:eastAsia="zh-CN"/>
        </w:rPr>
        <w:t>在</w:t>
      </w:r>
      <w:r>
        <w:rPr>
          <w:rFonts w:hint="eastAsia"/>
          <w:sz w:val="20"/>
          <w:szCs w:val="20"/>
        </w:rPr>
        <w:t>姿态变化</w:t>
      </w:r>
      <w:r>
        <w:rPr>
          <w:rFonts w:hint="eastAsia"/>
          <w:sz w:val="20"/>
          <w:szCs w:val="20"/>
          <w:lang w:eastAsia="zh-CN"/>
        </w:rPr>
        <w:t>不</w:t>
      </w:r>
      <w:r>
        <w:rPr>
          <w:rFonts w:hint="eastAsia"/>
          <w:sz w:val="20"/>
          <w:szCs w:val="20"/>
        </w:rPr>
        <w:t>明显</w:t>
      </w:r>
      <w:r>
        <w:rPr>
          <w:rFonts w:hint="eastAsia"/>
          <w:sz w:val="20"/>
          <w:szCs w:val="20"/>
          <w:lang w:eastAsia="zh-CN"/>
        </w:rPr>
        <w:t>且</w:t>
      </w:r>
      <w:r>
        <w:rPr>
          <w:rFonts w:hint="eastAsia"/>
          <w:sz w:val="20"/>
          <w:szCs w:val="20"/>
        </w:rPr>
        <w:t>机械臂</w:t>
      </w:r>
      <w:r>
        <w:rPr>
          <w:rFonts w:hint="eastAsia"/>
          <w:sz w:val="20"/>
          <w:szCs w:val="20"/>
          <w:lang w:eastAsia="zh-CN"/>
        </w:rPr>
        <w:t>相对底盘基本静止</w:t>
      </w:r>
      <w:r>
        <w:rPr>
          <w:rFonts w:hint="eastAsia"/>
          <w:sz w:val="20"/>
          <w:szCs w:val="20"/>
        </w:rPr>
        <w:t>时，</w:t>
      </w:r>
      <w:r>
        <w:rPr>
          <w:rFonts w:hint="eastAsia"/>
          <w:sz w:val="20"/>
          <w:szCs w:val="20"/>
          <w:lang w:val="en-US" w:eastAsia="zh-CN"/>
        </w:rPr>
        <w:t>此</w:t>
      </w:r>
      <w:r>
        <w:rPr>
          <w:rFonts w:hint="eastAsia"/>
          <w:sz w:val="20"/>
          <w:szCs w:val="20"/>
        </w:rPr>
        <w:t>近似</w:t>
      </w:r>
      <w:r>
        <w:rPr>
          <w:rFonts w:hint="eastAsia"/>
          <w:sz w:val="20"/>
          <w:szCs w:val="20"/>
          <w:lang w:val="en-US" w:eastAsia="zh-CN"/>
        </w:rPr>
        <w:t>能够满足较高</w:t>
      </w:r>
      <w:r>
        <w:rPr>
          <w:rFonts w:hint="eastAsia"/>
          <w:sz w:val="20"/>
          <w:szCs w:val="20"/>
          <w:lang w:eastAsia="zh-CN"/>
        </w:rPr>
        <w:t>精度</w:t>
      </w:r>
      <w:r>
        <w:rPr>
          <w:rFonts w:hint="eastAsia"/>
          <w:sz w:val="20"/>
          <w:szCs w:val="20"/>
          <w:lang w:val="en-US" w:eastAsia="zh-CN"/>
        </w:rPr>
        <w:t>的建模和解算</w:t>
      </w:r>
      <w:r>
        <w:rPr>
          <w:rFonts w:hint="eastAsia"/>
          <w:sz w:val="20"/>
          <w:szCs w:val="20"/>
        </w:rPr>
        <w:t>。</w:t>
      </w:r>
      <w:r>
        <w:rPr>
          <w:rFonts w:hint="eastAsia"/>
          <w:sz w:val="20"/>
          <w:szCs w:val="20"/>
          <w:lang w:eastAsia="zh-CN"/>
        </w:rPr>
        <w:t>足端力的</w:t>
      </w:r>
      <w:r>
        <w:rPr>
          <w:rFonts w:hint="eastAsia"/>
          <w:sz w:val="20"/>
          <w:szCs w:val="20"/>
        </w:rPr>
        <w:t>最小范数分配为</w:t>
      </w:r>
    </w:p>
    <w:tbl>
      <w:tblPr>
        <w:tblStyle w:val="10"/>
        <w:tblW w:w="4866" w:type="dxa"/>
        <w:tblCaption w:val="Equation 1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7C3E56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D68AA4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⋆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†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390" w:type="dxa"/>
            <w:vAlign w:val="center"/>
          </w:tcPr>
          <w:p w14:paraId="2EC6006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(17)</w:t>
            </w:r>
          </w:p>
        </w:tc>
      </w:tr>
    </w:tbl>
    <w:p w14:paraId="3AFAEA53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右侧逆矩阵形式仅在</w:t>
      </w:r>
      <w:r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满行秩时成立。在本文的常态四轮接地构型下，四个触点不全共线，因此该矩阵的秩为 6，满足满行秩条件。该解</w:t>
      </w:r>
      <w:r>
        <w:rPr>
          <w:rFonts w:hint="eastAsia"/>
          <w:sz w:val="20"/>
          <w:szCs w:val="20"/>
          <w:lang w:val="en-US" w:eastAsia="zh-CN"/>
        </w:rPr>
        <w:t>能够实现</w:t>
      </w:r>
      <w:r>
        <w:rPr>
          <w:rFonts w:hint="eastAsia"/>
          <w:sz w:val="20"/>
          <w:szCs w:val="20"/>
        </w:rPr>
        <w:t>接触力欧氏范数</w:t>
      </w:r>
      <w:r>
        <w:rPr>
          <w:rFonts w:hint="eastAsia"/>
          <w:sz w:val="20"/>
          <w:szCs w:val="20"/>
          <w:lang w:val="en-US" w:eastAsia="zh-CN"/>
        </w:rPr>
        <w:t>的</w:t>
      </w:r>
      <w:r>
        <w:rPr>
          <w:rFonts w:hint="eastAsia"/>
          <w:sz w:val="20"/>
          <w:szCs w:val="20"/>
        </w:rPr>
        <w:t>最小化。</w:t>
      </w:r>
    </w:p>
    <w:bookmarkEnd w:id="8"/>
    <w:p w14:paraId="1F9BE2B0">
      <w:pPr>
        <w:pStyle w:val="4"/>
        <w:numPr>
          <w:ilvl w:val="2"/>
          <w:numId w:val="0"/>
        </w:numPr>
        <w:snapToGrid w:val="0"/>
      </w:pPr>
      <w:bookmarkStart w:id="9" w:name="姿态控制器"/>
      <w:r>
        <w:t>6) 姿态控制器</w:t>
      </w:r>
    </w:p>
    <w:p w14:paraId="3D05A0BA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因为</w:t>
      </w:r>
      <w:r>
        <w:rPr>
          <w:rFonts w:hint="eastAsia"/>
          <w:sz w:val="20"/>
          <w:szCs w:val="20"/>
        </w:rPr>
        <w:t>固定腿部关节姿态难以适应地面高度变化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 xml:space="preserve">本文根据姿态误差增量调整腿长，以惯性测量单元（IMU）提供的滚转角 </w:t>
      </w:r>
      <m:oMath>
        <m:r>
          <m:rPr>
            <m:sty m:val="p"/>
          </m:rPr>
          <w:rPr>
            <w:rFonts w:hint="eastAsia"/>
            <w:sz w:val="20"/>
            <w:szCs w:val="20"/>
          </w:rPr>
          <m:t>ϕ</m:t>
        </m:r>
      </m:oMath>
      <w:r>
        <w:rPr>
          <w:rFonts w:hint="eastAsia"/>
          <w:sz w:val="20"/>
          <w:szCs w:val="20"/>
        </w:rPr>
        <w:t xml:space="preserve">、俯仰角 </w:t>
      </w:r>
      <m:oMath>
        <m:r>
          <m:rPr>
            <m:sty m:val="p"/>
          </m:rPr>
          <w:rPr>
            <w:rFonts w:hint="eastAsia"/>
            <w:sz w:val="20"/>
            <w:szCs w:val="20"/>
          </w:rPr>
          <m:t>θ</m:t>
        </m:r>
      </m:oMath>
      <w:r>
        <w:rPr>
          <w:rFonts w:hint="eastAsia"/>
          <w:sz w:val="20"/>
          <w:szCs w:val="20"/>
        </w:rPr>
        <w:t xml:space="preserve"> 及角速度作为反馈。本文采用角度—角速度双环 P 控制，并</w:t>
      </w:r>
      <w:r>
        <w:rPr>
          <w:rFonts w:hint="eastAsia"/>
          <w:sz w:val="20"/>
          <w:szCs w:val="20"/>
          <w:lang w:eastAsia="zh-CN"/>
        </w:rPr>
        <w:t>将输出值作为</w:t>
      </w:r>
      <w:r>
        <w:rPr>
          <w:rFonts w:hint="eastAsia"/>
          <w:sz w:val="20"/>
          <w:szCs w:val="20"/>
        </w:rPr>
        <w:t>腿高修正</w:t>
      </w:r>
      <w:r>
        <w:rPr>
          <w:rFonts w:hint="eastAsia"/>
          <w:sz w:val="20"/>
          <w:szCs w:val="20"/>
          <w:lang w:eastAsia="zh-CN"/>
        </w:rPr>
        <w:t>量增量</w:t>
      </w:r>
      <w:r>
        <w:rPr>
          <w:rFonts w:hint="eastAsia"/>
          <w:sz w:val="20"/>
          <w:szCs w:val="20"/>
        </w:rPr>
        <w:t xml:space="preserve">。闭环控制结构如 Fig. 7 所示。对任一姿态轴 </w:t>
      </w:r>
      <m:oMath>
        <m:r>
          <m:rPr>
            <m:sty m:val="p"/>
          </m:rPr>
          <w:rPr>
            <w:rFonts w:hint="eastAsia"/>
            <w:sz w:val="20"/>
            <w:szCs w:val="20"/>
          </w:rPr>
          <m:t>χ∈{ϕ,θ}</m:t>
        </m:r>
      </m:oMath>
      <w:r>
        <w:rPr>
          <w:rFonts w:hint="eastAsia"/>
          <w:sz w:val="20"/>
          <w:szCs w:val="20"/>
        </w:rPr>
        <w:t>，可写为</w:t>
      </w:r>
    </w:p>
    <w:tbl>
      <w:tblPr>
        <w:tblStyle w:val="10"/>
        <w:tblW w:w="4866" w:type="dxa"/>
        <w:tblCaption w:val="Equation 1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D8B277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3542C03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χ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],</m:t>
                    </m:r>
                  </m:e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χ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d>
                      <m:dPr>
                        <m:sepChr m:val=""/>
                      </m:dPr>
                      <m:e>
                        <m:sSub>
                          <m:sSubPr/>
                          <m:e>
                            <m:acc>
                              <m:accPr>
                                <m:chr m:val="̇"/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18"/>
                                    <w:szCs w:val="18"/>
                                  </w:rPr>
                                  <m:t>χ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[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]−</m:t>
                        </m:r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χ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[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]+Δ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546029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(18)</w:t>
            </w:r>
          </w:p>
        </w:tc>
      </w:tr>
    </w:tbl>
    <w:p w14:paraId="571A426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</m:oMath>
      <w:r>
        <w:rPr>
          <w:rFonts w:hint="eastAsia"/>
          <w:sz w:val="20"/>
          <w:szCs w:val="20"/>
        </w:rPr>
        <w:t xml:space="preserve"> 为采样序号；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χ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分别为当前与期望姿态角，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为姿态角误差，单位均为弧度。</w:t>
      </w:r>
      <m:oMath>
        <m:acc>
          <m:accPr>
            <m:chr m:val="̇"/>
          </m:accPr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e>
        </m:acc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 IMU 测得的当前角速度，</w:t>
      </w:r>
      <m:oMath>
        <m:acc>
          <m:accPr>
            <m:chr m:val="̇"/>
          </m:accPr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d</m:t>
                </m:r>
              </m:sub>
            </m:sSub>
          </m:e>
        </m:acc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为角度环给出的期望角速度，单位为弧度每秒。</w:t>
      </w:r>
    </w:p>
    <w:p w14:paraId="6F107001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</m:oMath>
      <w:r>
        <w:rPr>
          <w:rFonts w:hint="eastAsia"/>
          <w:sz w:val="20"/>
          <w:szCs w:val="20"/>
        </w:rPr>
        <w:t xml:space="preserve"> 为角度环比例增益，将姿态角误差转换为期望角速度；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</m:oMath>
      <w:r>
        <w:rPr>
          <w:rFonts w:hint="eastAsia"/>
          <w:sz w:val="20"/>
          <w:szCs w:val="20"/>
        </w:rPr>
        <w:t xml:space="preserve"> 为角速度环比例增益，将角速度误差转换为本</w:t>
      </w:r>
      <w:r>
        <w:rPr>
          <w:rFonts w:hint="eastAsia"/>
          <w:sz w:val="20"/>
          <w:szCs w:val="20"/>
          <w:lang w:eastAsia="zh-CN"/>
        </w:rPr>
        <w:t>计算</w:t>
      </w:r>
      <w:r>
        <w:rPr>
          <w:rFonts w:hint="eastAsia"/>
          <w:sz w:val="20"/>
          <w:szCs w:val="20"/>
        </w:rPr>
        <w:t>周期的</w:t>
      </w: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 xml:space="preserve">修正增量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>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为累加后的</w:t>
      </w: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>修正量，</w:t>
      </w:r>
      <m:oMath>
        <m:sSub>
          <m:sSubPr>
            <m:ctrlPr>
              <w:rPr>
                <w:rFonts w:hint="eastAsia"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u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χ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sub>
        </m:sSub>
        <m:r>
          <m:rPr>
            <m:sty m:val="p"/>
          </m:rPr>
          <w:rPr>
            <w:rFonts w:hint="eastAsia"/>
            <w:sz w:val="20"/>
            <w:szCs w:val="20"/>
          </w:rPr>
          <m:t>[k−1]</m:t>
        </m:r>
      </m:oMath>
      <w:r>
        <w:rPr>
          <w:rFonts w:hint="eastAsia"/>
          <w:sz w:val="20"/>
          <w:szCs w:val="20"/>
        </w:rPr>
        <w:t xml:space="preserve"> 为上一周期的值；</w:t>
      </w: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>修正量及其增量的单位均为米。</w:t>
      </w:r>
    </w:p>
    <w:p w14:paraId="194B4AE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>按四轮在机体系中的分布进行分配。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,x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,y</m:t>
            </m:r>
          </m:sub>
        </m:sSub>
      </m:oMath>
      <w:r>
        <w:rPr>
          <w:rFonts w:hint="eastAsia"/>
          <w:sz w:val="20"/>
          <w:szCs w:val="20"/>
        </w:rPr>
        <w:t xml:space="preserve"> 为轮心位置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的前向、左向分量；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 xml:space="preserve"> 分别为前后、左右轮心间距的一半，均为正值，上述长度的单位均为米。在四腿近似对称、小姿态角和触点高度暂时固定的条件下，可将修正分配为</w:t>
      </w:r>
    </w:p>
    <w:tbl>
      <w:tblPr>
        <w:tblStyle w:val="10"/>
        <w:tblW w:w="4866" w:type="dxa"/>
        <w:tblCaption w:val="Equation 1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67A32C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0E342114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,y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sub>
                    </m:sSub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ϕ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]−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,x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sub>
                    </m:sSub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D4E5648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(19)</w:t>
            </w:r>
          </w:p>
        </w:tc>
      </w:tr>
    </w:tbl>
    <w:p w14:paraId="39AC3763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</m:sub>
        </m:sSub>
      </m:oMath>
      <w:r>
        <w:rPr>
          <w:rFonts w:hint="eastAsia"/>
          <w:sz w:val="20"/>
          <w:szCs w:val="20"/>
        </w:rPr>
        <w:t xml:space="preserve"> 为</w:t>
      </w:r>
      <w:r>
        <w:rPr>
          <w:rFonts w:hint="eastAsia"/>
          <w:sz w:val="20"/>
          <w:szCs w:val="20"/>
          <w:lang w:eastAsia="zh-CN"/>
        </w:rPr>
        <w:t>基准腿高</w:t>
      </w:r>
      <w:r>
        <w:rPr>
          <w:rFonts w:hint="eastAsia"/>
          <w:sz w:val="20"/>
          <w:szCs w:val="20"/>
        </w:rPr>
        <w:t>，</w:t>
      </w:r>
      <m:oMath>
        <m:sSup>
          <m:sSup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i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p>
        </m:sSup>
      </m:oMath>
      <w:r>
        <w:rPr>
          <w:rFonts w:hint="eastAsia"/>
          <w:sz w:val="20"/>
          <w:szCs w:val="20"/>
        </w:rPr>
        <w:t xml:space="preserve"> 为第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rFonts w:hint="eastAsia"/>
          <w:sz w:val="20"/>
          <w:szCs w:val="20"/>
        </w:rPr>
        <w:t xml:space="preserve"> 条腿的期望</w:t>
      </w: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>，均以向下为正、单位为米；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ϕ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sub>
        </m:sSub>
      </m:oMath>
      <w:r>
        <w:rPr>
          <w:rFonts w:hint="eastAsia"/>
          <w:sz w:val="20"/>
          <w:szCs w:val="20"/>
        </w:rPr>
        <w:t xml:space="preserve"> 分别为滚转、俯仰控制器输出的</w:t>
      </w:r>
      <w:r>
        <w:rPr>
          <w:rFonts w:hint="eastAsia"/>
          <w:sz w:val="20"/>
          <w:szCs w:val="20"/>
          <w:lang w:eastAsia="zh-CN"/>
        </w:rPr>
        <w:t>腿高</w:t>
      </w:r>
      <w:r>
        <w:rPr>
          <w:rFonts w:hint="eastAsia"/>
          <w:sz w:val="20"/>
          <w:szCs w:val="20"/>
        </w:rPr>
        <w:t>修正量。转换为关节角度时，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表示第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rFonts w:hint="eastAsia"/>
          <w:sz w:val="20"/>
          <w:szCs w:val="20"/>
        </w:rPr>
        <w:t xml:space="preserve"> 个轮心在其腿基坐标系下的目标坐标，分别对应单腿逆运动学中的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</m:oMath>
      <w:r>
        <w:rPr>
          <w:rFonts w:hint="eastAsia"/>
          <w:sz w:val="20"/>
          <w:szCs w:val="20"/>
        </w:rPr>
        <w:t xml:space="preserve">。姿态调节保持 </w:t>
      </w:r>
      <m:oMath>
        <m:sSub>
          <m:sSubPr>
            <m:ctrlPr>
              <w:rPr>
                <w:rFonts w:hint="eastAsia"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x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hint="eastAsia"/>
                <w:sz w:val="20"/>
                <w:szCs w:val="20"/>
              </w:rPr>
              <m:t>i</m:t>
            </m:r>
            <m:ctrlPr>
              <w:rPr>
                <w:rFonts w:hint="eastAsia" w:ascii="Cambria Math" w:hAnsi="Cambria Math"/>
                <w:sz w:val="20"/>
                <w:szCs w:val="20"/>
              </w:rPr>
            </m:ctrlPr>
          </m:sub>
        </m:sSub>
      </m:oMath>
      <w:r>
        <w:rPr>
          <w:rFonts w:hint="eastAsia"/>
          <w:sz w:val="20"/>
          <w:szCs w:val="20"/>
        </w:rPr>
        <w:t xml:space="preserve"> 的</w:t>
      </w:r>
      <w:r>
        <w:rPr>
          <w:rFonts w:hint="eastAsia"/>
          <w:sz w:val="20"/>
          <w:szCs w:val="20"/>
          <w:lang w:eastAsia="zh-CN"/>
        </w:rPr>
        <w:t>基准</w:t>
      </w:r>
      <w:r>
        <w:rPr>
          <w:rFonts w:hint="eastAsia"/>
          <w:sz w:val="20"/>
          <w:szCs w:val="20"/>
        </w:rPr>
        <w:t xml:space="preserve">值，并令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= −</w:t>
      </w:r>
      <m:oMath>
        <m:sSup>
          <m:sSup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i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p>
        </m:sSup>
      </m:oMath>
      <w:r>
        <w:rPr>
          <w:rFonts w:hint="eastAsia"/>
          <w:sz w:val="20"/>
          <w:szCs w:val="20"/>
        </w:rPr>
        <w:t>，再由单腿逆解得到关节目标。</w:t>
      </w:r>
    </w:p>
    <w:p w14:paraId="6F106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4307840"/>
            <wp:effectExtent l="0" t="0" r="7620" b="6985"/>
            <wp:docPr id="27" name="Fig. 7" descr="底盘姿态控制器闭环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. 7" descr="底盘姿态控制器闭环方框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3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6002">
      <w:pPr>
        <w:pStyle w:val="18"/>
        <w:numPr>
          <w:ilvl w:val="0"/>
          <w:numId w:val="0"/>
        </w:numPr>
        <w:snapToGrid w:val="0"/>
      </w:pPr>
      <w:r>
        <w:t>Fig. 7. 底盘姿态控制器闭环方框图。滚转与俯仰分别采用(18)的双环 P 控制及高度增量累加，两轴修正量经(19)共同分配至四腿；关节伺服内环合并表示。</w:t>
      </w:r>
    </w:p>
    <w:bookmarkEnd w:id="4"/>
    <w:bookmarkEnd w:id="9"/>
    <w:p w14:paraId="3E18FD99">
      <w:pPr>
        <w:pStyle w:val="3"/>
        <w:numPr>
          <w:ilvl w:val="1"/>
          <w:numId w:val="0"/>
        </w:numPr>
        <w:snapToGrid w:val="0"/>
      </w:pPr>
      <w:bookmarkStart w:id="10" w:name="c.-机械臂逆运动学"/>
      <w:r>
        <w:t xml:space="preserve">C. </w:t>
      </w:r>
      <w:r>
        <w:rPr>
          <w:rFonts w:hint="eastAsia"/>
        </w:rPr>
        <w:t>机械臂模块</w:t>
      </w:r>
    </w:p>
    <w:p w14:paraId="7A110003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1) 结构概述</w:t>
      </w:r>
    </w:p>
    <w:p w14:paraId="7A1100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机</w:t>
      </w:r>
      <w:r>
        <w:rPr>
          <w:rFonts w:hint="eastAsia"/>
          <w:sz w:val="20"/>
          <w:szCs w:val="20"/>
        </w:rPr>
        <w:t>械臂由六个转动关节和末端连杆式夹爪组成，分别</w:t>
      </w:r>
      <w:r>
        <w:rPr>
          <w:rFonts w:hint="eastAsia"/>
          <w:sz w:val="20"/>
          <w:szCs w:val="20"/>
          <w:lang w:eastAsia="zh-CN"/>
        </w:rPr>
        <w:t>执行</w:t>
      </w:r>
      <w:r>
        <w:rPr>
          <w:rFonts w:hint="eastAsia"/>
          <w:sz w:val="20"/>
          <w:szCs w:val="20"/>
        </w:rPr>
        <w:t>空间位姿调整与抓取动作</w:t>
      </w:r>
      <w:r>
        <w:rPr>
          <w:rFonts w:hint="eastAsia"/>
          <w:sz w:val="20"/>
          <w:szCs w:val="20"/>
          <w:lang w:eastAsia="zh-CN"/>
        </w:rPr>
        <w:t>的任务</w:t>
      </w:r>
      <w:r>
        <w:rPr>
          <w:rFonts w:hint="eastAsia"/>
          <w:sz w:val="20"/>
          <w:szCs w:val="20"/>
        </w:rPr>
        <w:t>。主体采用碳纤维板与铝制连接件组合的结构，关节</w:t>
      </w:r>
      <w:r>
        <w:rPr>
          <w:rFonts w:hint="eastAsia"/>
          <w:sz w:val="20"/>
          <w:szCs w:val="20"/>
          <w:lang w:val="en-US" w:eastAsia="zh-CN"/>
        </w:rPr>
        <w:t>主要</w:t>
      </w:r>
      <w:r>
        <w:rPr>
          <w:rFonts w:hint="eastAsia"/>
          <w:sz w:val="20"/>
          <w:szCs w:val="20"/>
        </w:rPr>
        <w:t>通过齿轮及连杆传动传递运动；</w:t>
      </w:r>
      <w:r>
        <w:rPr>
          <w:rFonts w:hint="eastAsia"/>
          <w:sz w:val="20"/>
          <w:szCs w:val="20"/>
          <w:lang w:val="en-US" w:eastAsia="zh-CN"/>
        </w:rPr>
        <w:t>设计中还大量使用</w:t>
      </w:r>
      <w:r>
        <w:rPr>
          <w:rFonts w:hint="eastAsia"/>
          <w:sz w:val="20"/>
          <w:szCs w:val="20"/>
        </w:rPr>
        <w:t>双侧支承和榫卯配合用于辅助部件定位与装配。结构设计围绕关节轴</w:t>
      </w:r>
      <w:r>
        <w:rPr>
          <w:rFonts w:ascii="Times New Roman" w:hAnsi="Times New Roman" w:eastAsia="宋体"/>
          <w:sz w:val="20"/>
          <w:szCs w:val="20"/>
        </w:rPr>
        <w:t>线、连杆中心距和工具安装关系展开，为基于 DH 坐标系的运动学建模提供几何依据。</w:t>
      </w:r>
    </w:p>
    <w:p w14:paraId="7A110005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2) 逆运动学</w:t>
      </w:r>
    </w:p>
    <w:p w14:paraId="46EF2C5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六轴机械臂采用肘式臂与球腕结构，末三轴交于腕心，可将逆解分为前三轴定位和后三轴定姿。关节坐标系与连杆尺寸如 Fig. 8 所示。给定基坐标系 {0} 下的末端目标位置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和姿态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</m:oMath>
      <w:r>
        <w:rPr>
          <w:rFonts w:hint="eastAsia"/>
          <w:sz w:val="20"/>
          <w:szCs w:val="20"/>
        </w:rPr>
        <w:t>，按照本文的工具坐标约定，腕心位置由末端沿工具负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轴回退距离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6</m:t>
            </m:r>
          </m:sub>
        </m:sSub>
      </m:oMath>
      <w:r>
        <w:rPr>
          <w:rFonts w:hint="eastAsia"/>
          <w:sz w:val="20"/>
          <w:szCs w:val="20"/>
        </w:rPr>
        <w:t>得到，记为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：</w:t>
      </w:r>
    </w:p>
    <w:tbl>
      <w:tblPr>
        <w:tblStyle w:val="10"/>
        <w:tblW w:w="4866" w:type="dxa"/>
        <w:tblCaption w:val="Equation 2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C35510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3545C52E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6</m:t>
                    </m:r>
                  </m:sub>
                </m:sSub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1F9E9F6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(20)</w:t>
            </w:r>
          </w:p>
        </w:tc>
      </w:tr>
    </w:tbl>
    <w:p w14:paraId="540695CD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019810"/>
            <wp:effectExtent l="0" t="0" r="7620" b="8890"/>
            <wp:docPr id="28" name="Fig. 8" descr="机械臂侧视图上的关节坐标系定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. 8" descr="机械臂侧视图上的关节坐标系定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002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(a) Physical view</w:t>
      </w:r>
    </w:p>
    <w:p w14:paraId="6F108003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520190"/>
            <wp:effectExtent l="0" t="0" r="7620" b="8890"/>
            <wp:docPr id="34" name="Fig. 8(b)" descr="Arm joint coordinate frames and link 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. 8(b)" descr="Arm joint coordinate frames and link dimension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15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004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(b) Joint coordinate frames</w:t>
      </w:r>
    </w:p>
    <w:p w14:paraId="1428A8F6">
      <w:pPr>
        <w:pStyle w:val="18"/>
        <w:numPr>
          <w:ilvl w:val="0"/>
          <w:numId w:val="0"/>
        </w:numPr>
        <w:snapToGrid w:val="0"/>
      </w:pPr>
      <w:r>
        <w:rPr>
          <w:iCs/>
        </w:rPr>
        <w:t>Fig. 8. 六轴机械臂关节坐标系。（a）侧视图上的坐标系对应位置。（b）关节坐标系与连杆尺寸定义。坐标系 2、3 的原点重合，坐标系 4、5 的原点重合。</w:t>
      </w:r>
    </w:p>
    <w:p w14:paraId="6F10C8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关节角记为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（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j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=1,…,6</m:t>
        </m:r>
      </m:oMath>
      <w:r>
        <w:rPr>
          <w:rFonts w:ascii="Times New Roman" w:hAnsi="Times New Roman" w:eastAsia="宋体"/>
          <w:sz w:val="20"/>
          <w:szCs w:val="20"/>
        </w:rPr>
        <w:t>），末端位置和姿态均相对于基坐标系 {0} 表示。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4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为沿第三坐标系 z 轴从其原点至腕心的距离。</w:t>
      </w:r>
    </w:p>
    <w:p w14:paraId="2743674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将坐标系 4、5 的重合原点定义为腕心，</w:t>
      </w:r>
      <w:r>
        <w:rPr>
          <w:rFonts w:hint="eastAsia"/>
          <w:sz w:val="20"/>
          <w:szCs w:val="20"/>
        </w:rPr>
        <w:t>设腕心坐标为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rFonts w:hint="eastAsia"/>
          <w:sz w:val="20"/>
          <w:szCs w:val="20"/>
        </w:rPr>
        <w:t>，径向距离为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bSup>
          </m:e>
        </m:rad>
      </m:oMath>
      <w:r>
        <w:rPr>
          <w:rFonts w:hint="eastAsia"/>
          <w:sz w:val="20"/>
          <w:szCs w:val="20"/>
        </w:rPr>
        <w:t>。按图示连杆参数与关节零位定义，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为肩部径向和高度偏置，等效臂长为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ℓ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ℓ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4</m:t>
            </m:r>
          </m:sub>
        </m:sSub>
      </m:oMath>
      <w:r>
        <w:rPr>
          <w:rFonts w:hint="eastAsia"/>
          <w:sz w:val="20"/>
          <w:szCs w:val="20"/>
        </w:rPr>
        <w:t>。记肩腕距离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+(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p>
          </m:e>
        </m:rad>
      </m:oMath>
      <w:r>
        <w:rPr>
          <w:rFonts w:hint="eastAsia"/>
          <w:sz w:val="20"/>
          <w:szCs w:val="20"/>
        </w:rPr>
        <w:t>、方向角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=atan2(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rFonts w:hint="eastAsia"/>
          <w:sz w:val="20"/>
          <w:szCs w:val="20"/>
        </w:rPr>
        <w:t>，由平面三角形余弦定理，正对高臂分支为</w:t>
      </w:r>
    </w:p>
    <w:tbl>
      <w:tblPr>
        <w:tblStyle w:val="10"/>
        <w:tblW w:w="4866" w:type="dxa"/>
        <w:tblCaption w:val="Equation 2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664B092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D72B467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90D25D1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(21)</w:t>
            </w:r>
          </w:p>
        </w:tc>
      </w:tr>
    </w:tbl>
    <w:p w14:paraId="3EBA8D2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由前三轴关节角确定坐标系 {3} 到 {0} 的旋转矩阵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03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后，由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03</m:t>
            </m:r>
          </m:sub>
        </m:sSub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36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得球腕相对姿态</w:t>
      </w:r>
    </w:p>
    <w:tbl>
      <w:tblPr>
        <w:tblStyle w:val="10"/>
        <w:tblW w:w="4866" w:type="dxa"/>
        <w:tblCaption w:val="Equation 2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9E1C24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83C123D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36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=[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57A54A5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(22)</w:t>
            </w:r>
          </w:p>
        </w:tc>
      </w:tr>
    </w:tbl>
    <w:p w14:paraId="2DF1DB8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为各列矢量的相应分量，腕部关节角满足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hint="eastAsia"/>
          <w:sz w:val="20"/>
          <w:szCs w:val="20"/>
        </w:rPr>
        <w:t>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j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6</m:t>
        </m:r>
      </m:oMath>
      <w:r>
        <w:rPr>
          <w:rFonts w:ascii="Times New Roman" w:hAnsi="Times New Roman" w:eastAsia="宋体"/>
          <w:sz w:val="20"/>
          <w:szCs w:val="20"/>
        </w:rPr>
        <w:t>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为标准 DH 关节角，其中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为零位偏置。按本文的球腕坐标约定，在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≠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时，匹配旋转矩阵元素可得</w:t>
      </w:r>
    </w:p>
    <w:tbl>
      <w:tblPr>
        <w:tblStyle w:val="10"/>
        <w:tblW w:w="4866" w:type="dxa"/>
        <w:tblCaption w:val="Equation 2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6980A0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822B47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=±arccos(−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071FD52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(23)</w:t>
            </w:r>
          </w:p>
        </w:tc>
      </w:tr>
    </w:tbl>
    <w:p w14:paraId="6BDBEFC2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</w:rPr>
        <w:t>对候选解进行位姿回代检查，</w:t>
      </w:r>
      <w:r>
        <w:rPr>
          <w:rFonts w:hint="eastAsia"/>
          <w:sz w:val="20"/>
          <w:szCs w:val="20"/>
          <w:lang w:val="en-US" w:eastAsia="zh-CN"/>
        </w:rPr>
        <w:t>就可以</w:t>
      </w:r>
      <w:r>
        <w:rPr>
          <w:rFonts w:hint="eastAsia"/>
          <w:sz w:val="20"/>
          <w:szCs w:val="20"/>
        </w:rPr>
        <w:t>选择</w:t>
      </w:r>
      <w:r>
        <w:rPr>
          <w:rFonts w:hint="eastAsia"/>
          <w:sz w:val="20"/>
          <w:szCs w:val="20"/>
          <w:lang w:val="en-US" w:eastAsia="zh-CN"/>
        </w:rPr>
        <w:t>得到</w:t>
      </w:r>
      <w:r>
        <w:rPr>
          <w:rFonts w:hint="eastAsia"/>
          <w:sz w:val="20"/>
          <w:szCs w:val="20"/>
        </w:rPr>
        <w:t>与上一时刻关节角最接近的可行分支</w:t>
      </w:r>
      <w:r>
        <w:rPr>
          <w:rFonts w:hint="eastAsia"/>
          <w:sz w:val="20"/>
          <w:szCs w:val="20"/>
          <w:lang w:eastAsia="zh-CN"/>
        </w:rPr>
        <w:t>。</w:t>
      </w:r>
    </w:p>
    <w:bookmarkEnd w:id="10"/>
    <w:p w14:paraId="5216BD38">
      <w:pPr>
        <w:pStyle w:val="3"/>
        <w:numPr>
          <w:ilvl w:val="1"/>
          <w:numId w:val="0"/>
        </w:numPr>
        <w:snapToGrid w:val="0"/>
      </w:pPr>
      <w:bookmarkStart w:id="11" w:name="d.-delta-遥操作控制器"/>
      <w:r>
        <w:t xml:space="preserve">D. Delta </w:t>
      </w:r>
      <w:r>
        <w:rPr>
          <w:rFonts w:hint="eastAsia"/>
        </w:rPr>
        <w:t>遥操作控制器</w:t>
      </w:r>
    </w:p>
    <w:p w14:paraId="272A16D0">
      <w:pPr>
        <w:pStyle w:val="4"/>
        <w:numPr>
          <w:ilvl w:val="2"/>
          <w:numId w:val="0"/>
        </w:numPr>
        <w:snapToGrid w:val="0"/>
      </w:pPr>
      <w:bookmarkStart w:id="12" w:name="构型与正运动学"/>
      <w:r>
        <w:t xml:space="preserve">1) </w:t>
      </w:r>
      <w:r>
        <w:rPr>
          <w:rFonts w:hint="eastAsia"/>
        </w:rPr>
        <w:t>结构概述</w:t>
      </w:r>
    </w:p>
    <w:p w14:paraId="3C6B66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主端采用三支链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并联机构实现三维平移，并在动平台上安装三个带编码器的转动关节输入</w:t>
      </w:r>
      <w:r>
        <w:rPr>
          <w:rFonts w:hint="eastAsia"/>
          <w:sz w:val="20"/>
          <w:szCs w:val="20"/>
          <w:lang w:eastAsia="zh-CN"/>
        </w:rPr>
        <w:t>三维</w:t>
      </w:r>
      <w:r>
        <w:rPr>
          <w:rFonts w:hint="eastAsia"/>
          <w:sz w:val="20"/>
          <w:szCs w:val="20"/>
        </w:rPr>
        <w:t>姿态。平行四边形从动臂约束动平台相对静平台保持平行，从而将位置输入与姿态输入分开</w:t>
      </w:r>
      <w:r>
        <w:rPr>
          <w:sz w:val="20"/>
          <w:szCs w:val="20"/>
        </w:rPr>
        <w:t xml:space="preserve">。Fig. 9 </w:t>
      </w:r>
      <w:r>
        <w:rPr>
          <w:rFonts w:hint="eastAsia"/>
          <w:sz w:val="20"/>
          <w:szCs w:val="20"/>
        </w:rPr>
        <w:t>给出 Delta 机构、三轴手柄及转轴标注</w:t>
      </w:r>
      <w:r>
        <w:rPr>
          <w:sz w:val="20"/>
          <w:szCs w:val="20"/>
        </w:rPr>
        <w:t>。</w:t>
      </w:r>
    </w:p>
    <w:p w14:paraId="7A11000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控制器的固定支架与连杆采用碳纤维板件，动平台和手柄采用聚乳酸（polylactic acid，PLA）三维打印件，以减少随手部运动的部件质量并便于装配。手柄侧面的操作参考点重置按钮用于分段重新定位；在保持从端当前目标位姿连续的前提下，重新设置主从位置映射的参考点，即可继续输入后续操作指令。</w:t>
      </w:r>
    </w:p>
    <w:p w14:paraId="7A110007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2) 正运动学</w:t>
      </w:r>
    </w:p>
    <w:p w14:paraId="7A110008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Delta 机构的几何参数列于 TABLE II。以下沿用系统结构中定义的平台基座坐标系 {D}，建立三条支链的几何约束。</w:t>
      </w:r>
    </w:p>
    <w:p w14:paraId="34E67E34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039620"/>
            <wp:effectExtent l="0" t="0" r="7620" b="8255"/>
            <wp:docPr id="29" name="Fig. 9" descr="Delta 平移机构与三轴姿态手柄的机构、转轴和平行约束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. 9" descr="Delta 平移机构与三轴姿态手柄的机构、转轴和平行约束示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5471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9. </w:t>
      </w:r>
      <w:r>
        <w:rPr>
          <w:rFonts w:hint="eastAsia"/>
          <w:iCs/>
        </w:rPr>
        <w:t>遥操作主手结构与转轴示意。（a）Delta 平移机构，黄色闭合轮廓突出显示一组平行四边形从动臂；三支链共同约束动平台始终与静平台保持平行。（b）三轴姿态手柄，按安装端至握持端依次标出三个转动关节。红色点划线表示转轴中心线，蓝色标记表示平台平行关系。</w:t>
      </w:r>
    </w:p>
    <w:p w14:paraId="416DC73D">
      <w:pPr>
        <w:pStyle w:val="7"/>
        <w:numPr>
          <w:ilvl w:val="0"/>
          <w:numId w:val="0"/>
        </w:numPr>
        <w:snapToGrid w:val="0"/>
        <w:rPr>
          <w:sz w:val="20"/>
        </w:rPr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{D}</m:t>
        </m:r>
      </m:oMath>
      <w:r>
        <w:rPr>
          <w:rFonts w:hint="eastAsia"/>
          <w:sz w:val="20"/>
          <w:szCs w:val="20"/>
        </w:rPr>
        <w:t xml:space="preserve"> 的原点 O 位于静平台中心。正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轴垂直于静平台，由动平台指向静平台；正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轴在静平台平面内从 O 指向第一支链的静平台连接点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rFonts w:hint="eastAsia"/>
          <w:sz w:val="20"/>
          <w:szCs w:val="20"/>
        </w:rPr>
        <w:t>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轴按右手系确定，工作侧为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&lt;0</m:t>
        </m:r>
      </m:oMath>
      <w:r>
        <w:rPr>
          <w:rFonts w:hint="eastAsia"/>
          <w:sz w:val="20"/>
          <w:szCs w:val="20"/>
        </w:rPr>
        <w:t xml:space="preserve">。静、动平台连接点分布圆半径分别记为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，主动臂和从动臂长度为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sub>
        </m:sSub>
      </m:oMath>
      <w:r>
        <w:rPr>
          <w:rFonts w:hint="eastAsia"/>
          <w:sz w:val="20"/>
          <w:szCs w:val="20"/>
        </w:rPr>
        <w:t xml:space="preserve">。三支链方位角绕正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轴按右手方向、从正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轴起算：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2π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(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)/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3</m:t>
        </m:r>
      </m:oMath>
      <w:r>
        <w:rPr>
          <w:rFonts w:hint="eastAsia"/>
          <w:sz w:val="20"/>
          <w:szCs w:val="20"/>
        </w:rPr>
        <w:t xml:space="preserve">，径向单位矢量为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=[0,−sin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,cos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 xml:space="preserve">。主动臂角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从静平台平面内的径向外侧方向起算，朝负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工作侧转动为正。几何关系如 Fig. 10 所示；单支链图采用对称构型展示角度与长度定义，虚线段对应(25)中的等效长度约束。</w:t>
      </w:r>
    </w:p>
    <w:p w14:paraId="6F109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159635" cy="5554345"/>
            <wp:effectExtent l="0" t="0" r="7620" b="8255"/>
            <wp:docPr id="30" name="Fig. 10" descr="Delta 三支链及单支链几何模型，基座原点位于静平台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. 10" descr="Delta 三支链及单支链几何模型，基座原点位于静平台中心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5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9002">
      <w:pPr>
        <w:pStyle w:val="18"/>
        <w:numPr>
          <w:ilvl w:val="0"/>
          <w:numId w:val="0"/>
        </w:numPr>
        <w:snapToGrid w:val="0"/>
      </w:pPr>
      <w:r>
        <w:t>Fig. 10. Delta 机械臂几何模型。（a）三支链构型，基座原点 O 位于静平台中心，正 x 轴沿平台法向由动平台指向静平台，正 z 轴从 O 指向 A1，三轴按右手系定义；动平台中心为 P，成对从动杆构成平行四边形并保持两平台平行。（b）对称构型下的单支链剖面，标出平台半径、杆长、主动臂角及等效球心。</w:t>
      </w:r>
    </w:p>
    <w:p w14:paraId="7A9AE054">
      <w:pPr>
        <w:pStyle w:val="28"/>
        <w:keepNext/>
        <w:numPr>
          <w:ilvl w:val="0"/>
          <w:numId w:val="0"/>
        </w:numPr>
        <w:snapToGrid w:val="0"/>
      </w:pPr>
      <w:r>
        <w:rPr>
          <w:bCs/>
        </w:rPr>
        <w:t xml:space="preserve">TABLE II. Delta </w:t>
      </w:r>
      <w:r>
        <w:rPr>
          <w:rFonts w:hint="eastAsia"/>
          <w:bCs/>
        </w:rPr>
        <w:t>主端几何参数</w:t>
      </w:r>
    </w:p>
    <w:tbl>
      <w:tblPr>
        <w:tblStyle w:val="10"/>
        <w:tblW w:w="48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  <w:gridCol w:w="1622"/>
      </w:tblGrid>
      <w:tr w14:paraId="0D99D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22" w:type="dxa"/>
          </w:tcPr>
          <w:p w14:paraId="3E6B0195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符号</w:t>
            </w:r>
          </w:p>
        </w:tc>
        <w:tc>
          <w:tcPr>
            <w:tcW w:w="1622" w:type="dxa"/>
          </w:tcPr>
          <w:p w14:paraId="73A680E0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数值</w:t>
            </w:r>
          </w:p>
        </w:tc>
        <w:tc>
          <w:tcPr>
            <w:tcW w:w="1622" w:type="dxa"/>
          </w:tcPr>
          <w:p w14:paraId="6C937CEE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含义</w:t>
            </w:r>
          </w:p>
        </w:tc>
      </w:tr>
      <w:tr w14:paraId="1A084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7AE20E6F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1B86A697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0.095 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2B191AC7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静平台连接点分布圆半径</w:t>
            </w:r>
          </w:p>
        </w:tc>
      </w:tr>
      <w:tr w14:paraId="364FF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3F02EEE3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7AC11C12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0.066 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1BB756C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动平台连接点分布圆半径</w:t>
            </w:r>
          </w:p>
        </w:tc>
      </w:tr>
      <w:tr w14:paraId="1283F46E">
        <w:trPr>
          <w:cantSplit/>
        </w:trPr>
        <w:tc>
          <w:tcPr>
            <w:tcW w:w="1622" w:type="dxa"/>
          </w:tcPr>
          <w:p w14:paraId="3733649A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0F648EC9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0.150 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368D472B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主动臂中心距</w:t>
            </w:r>
          </w:p>
        </w:tc>
      </w:tr>
      <w:tr w14:paraId="1D77C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43F3A4EF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2CD48247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0.200 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2D4C8BB4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从动臂中心距</w:t>
            </w:r>
          </w:p>
        </w:tc>
      </w:tr>
    </w:tbl>
    <w:p w14:paraId="20B32C3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设动平台中心为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，将动平台半径移入支链几何后，等效球心为</w:t>
      </w:r>
    </w:p>
    <w:tbl>
      <w:tblPr>
        <w:tblStyle w:val="10"/>
        <w:tblW w:w="4866" w:type="dxa"/>
        <w:tblCaption w:val="Equation 2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B4CE4CB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B111D8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=(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cos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)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sin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7BEA39E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(24)</w:t>
            </w:r>
          </w:p>
        </w:tc>
      </w:tr>
    </w:tbl>
    <w:p w14:paraId="11D43FF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从动臂等长约束给出三球交点方程</w:t>
      </w:r>
    </w:p>
    <w:tbl>
      <w:tblPr>
        <w:tblStyle w:val="10"/>
        <w:tblW w:w="4866" w:type="dxa"/>
        <w:tblCaption w:val="Equation 2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2B6C9E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3D2A6F4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  i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B1F614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(25)</w:t>
            </w:r>
          </w:p>
        </w:tc>
      </w:tr>
    </w:tbl>
    <w:p w14:paraId="539906A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第</w:t>
      </w:r>
      <w:r>
        <w:rPr>
          <w:sz w:val="20"/>
          <w:szCs w:val="20"/>
        </w:rPr>
        <w:t xml:space="preserve"> 2、3 </w:t>
      </w:r>
      <w:r>
        <w:rPr>
          <w:rFonts w:hint="eastAsia"/>
          <w:sz w:val="20"/>
          <w:szCs w:val="20"/>
        </w:rPr>
        <w:t>个方程分别减去第</w:t>
      </w:r>
      <w:r>
        <w:rPr>
          <w:sz w:val="20"/>
          <w:szCs w:val="20"/>
        </w:rPr>
        <w:t xml:space="preserve"> 1 </w:t>
      </w:r>
      <w:r>
        <w:rPr>
          <w:rFonts w:hint="eastAsia"/>
          <w:sz w:val="20"/>
          <w:szCs w:val="20"/>
        </w:rPr>
        <w:t>个方程，可消除二次项，得到</w:t>
      </w:r>
    </w:p>
    <w:tbl>
      <w:tblPr>
        <w:tblStyle w:val="10"/>
        <w:tblW w:w="4866" w:type="dxa"/>
        <w:tblCaption w:val="Equation 2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F37B87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09D706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(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862A03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(26)</w:t>
            </w:r>
          </w:p>
        </w:tc>
      </w:tr>
    </w:tbl>
    <w:p w14:paraId="279C778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记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iz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，定义</w:t>
      </w:r>
    </w:p>
    <w:tbl>
      <w:tblPr>
        <w:tblStyle w:val="10"/>
        <w:tblW w:w="4866" w:type="dxa"/>
        <w:tblCaption w:val="Equation 2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631283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50794A8D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1y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2z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1z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1y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3z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1z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3x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08D3979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(27)</w:t>
            </w:r>
          </w:p>
        </w:tc>
      </w:tr>
    </w:tbl>
    <w:p w14:paraId="1132F1D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在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可逆时，令</w:t>
      </w:r>
      <w:r>
        <w:rPr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u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p>
        </m:sSubSup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sz w:val="20"/>
          <w:szCs w:val="20"/>
        </w:rPr>
        <w:t>、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v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=−</m:t>
        </m:r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p>
        </m:sSubSup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>，有</w:t>
      </w:r>
    </w:p>
    <w:tbl>
      <w:tblPr>
        <w:tblStyle w:val="10"/>
        <w:tblW w:w="4866" w:type="dxa"/>
        <w:tblCaption w:val="Equation 2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459854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49059C5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v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203B930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(28)</w:t>
            </w:r>
          </w:p>
        </w:tc>
      </w:tr>
    </w:tbl>
    <w:p w14:paraId="415E9CF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记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1,yz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[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1y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1z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ascii="Times New Roman" w:hAnsi="Times New Roman" w:eastAsia="宋体"/>
          <w:sz w:val="20"/>
          <w:szCs w:val="20"/>
        </w:rPr>
        <w:t xml:space="preserve">，代回第一球面，得到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bSup>
          <m:sSubSup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rFonts w:ascii="Times New Roman" w:hAnsi="Times New Roman" w:eastAsia="宋体"/>
          <w:sz w:val="20"/>
          <w:szCs w:val="20"/>
        </w:rPr>
        <w:t>，其中</w:t>
      </w:r>
    </w:p>
    <w:tbl>
      <w:tblPr>
        <w:tblStyle w:val="10"/>
        <w:tblW w:w="4866" w:type="dxa"/>
        <w:tblCaption w:val="Equation 2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AB8EC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6E35388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p>
                      <m:s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sSup>
                          <m:sSup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,</m:t>
                            </m:r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)−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1x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=∥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yz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∥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F8144C3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(29)</w:t>
            </w:r>
          </w:p>
        </w:tc>
      </w:tr>
    </w:tbl>
    <w:p w14:paraId="2BB35DD4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随后</w:t>
      </w:r>
      <w:r>
        <w:rPr>
          <w:rFonts w:hint="eastAsia"/>
          <w:sz w:val="20"/>
          <w:szCs w:val="20"/>
          <w:lang w:eastAsia="zh-CN"/>
        </w:rPr>
        <w:t>从二次方程候选根中</w:t>
      </w:r>
      <w:r>
        <w:rPr>
          <w:rFonts w:hint="eastAsia"/>
          <w:sz w:val="20"/>
          <w:szCs w:val="20"/>
        </w:rPr>
        <w:t>选择</w:t>
      </w:r>
      <w:r>
        <w:rPr>
          <w:rFonts w:hint="eastAsia"/>
          <w:sz w:val="20"/>
          <w:szCs w:val="20"/>
          <w:lang w:val="en-US" w:eastAsia="zh-CN"/>
        </w:rPr>
        <w:t>得到</w:t>
      </w:r>
      <w:r>
        <w:rPr>
          <w:rFonts w:hint="eastAsia"/>
          <w:sz w:val="20"/>
          <w:szCs w:val="20"/>
        </w:rPr>
        <w:t>满足工作侧和连续性条件的根。</w:t>
      </w:r>
    </w:p>
    <w:bookmarkEnd w:id="12"/>
    <w:p w14:paraId="01EF466D">
      <w:pPr>
        <w:pStyle w:val="4"/>
        <w:numPr>
          <w:ilvl w:val="2"/>
          <w:numId w:val="0"/>
        </w:numPr>
        <w:snapToGrid w:val="0"/>
      </w:pPr>
      <w:bookmarkStart w:id="13" w:name="雅可比与力矩前馈"/>
      <w:r>
        <w:t xml:space="preserve">3) </w:t>
      </w:r>
      <w:r>
        <w:rPr>
          <w:rFonts w:hint="eastAsia"/>
        </w:rPr>
        <w:t>雅可比与力矩前馈</w:t>
      </w:r>
    </w:p>
    <w:p w14:paraId="79ABCD24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eastAsia="zh-CN"/>
        </w:rPr>
        <w:t>为降低操作员的手部施力负担并改善操作精度，遥操作控制器通过 Delta 机构的三个主动关节施加前馈力矩，补偿机构自重的部分影响。</w:t>
      </w:r>
    </w:p>
    <w:p w14:paraId="519C505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记三主动关节角组成的向量为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>。在非奇异工作区域，动平台位置对关节角的雅可比矩阵及速度关系为</w:t>
      </w:r>
    </w:p>
    <w:tbl>
      <w:tblPr>
        <w:tblStyle w:val="10"/>
        <w:tblW w:w="4866" w:type="dxa"/>
        <w:tblCaption w:val="Equation 3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7C7DD6A8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DC688F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, </m:t>
                </m:r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8FE593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(30)</w:t>
            </w:r>
          </w:p>
        </w:tc>
      </w:tr>
    </w:tbl>
    <w:p w14:paraId="7505543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由虚功原理，动平台的期望支撑力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对应的电机前馈力矩为</w:t>
      </w:r>
    </w:p>
    <w:tbl>
      <w:tblPr>
        <w:tblStyle w:val="10"/>
        <w:tblW w:w="4866" w:type="dxa"/>
        <w:tblCaption w:val="Equation 3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996780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3B54BD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5A24F6C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(31)</w:t>
            </w:r>
          </w:p>
        </w:tc>
      </w:tr>
    </w:tbl>
    <w:p w14:paraId="23750A0F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 xml:space="preserve">重力补偿取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rFonts w:hint="eastAsia"/>
          <w:sz w:val="20"/>
          <w:szCs w:val="20"/>
        </w:rPr>
        <w:t xml:space="preserve">，其中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为动平台与手柄的等效质量，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rFonts w:hint="eastAsia"/>
          <w:sz w:val="20"/>
          <w:szCs w:val="20"/>
        </w:rPr>
        <w:t xml:space="preserve"> 为基座坐标系 {D} 下的重力加速度向量</w:t>
      </w:r>
      <w:r>
        <w:rPr>
          <w:rFonts w:hint="eastAsia"/>
          <w:sz w:val="20"/>
          <w:szCs w:val="20"/>
          <w:lang w:eastAsia="zh-CN"/>
        </w:rPr>
        <w:t>。</w:t>
      </w:r>
    </w:p>
    <w:bookmarkEnd w:id="13"/>
    <w:p w14:paraId="4E78815B">
      <w:pPr>
        <w:pStyle w:val="4"/>
        <w:numPr>
          <w:ilvl w:val="2"/>
          <w:numId w:val="0"/>
        </w:numPr>
        <w:snapToGrid w:val="0"/>
      </w:pPr>
      <w:bookmarkStart w:id="14" w:name="位姿映射与关节指令"/>
      <w:r>
        <w:t xml:space="preserve">4) </w:t>
      </w:r>
      <w:r>
        <w:rPr>
          <w:rFonts w:hint="eastAsia"/>
        </w:rPr>
        <w:t>位姿映射与关节指令</w:t>
      </w:r>
    </w:p>
    <w:p w14:paraId="0CF8E7E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主端的位置输入取 Delta 动平台中心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p>
          <m:sSupPr/>
          <m:e>
            <m:d>
              <m:dPr>
                <m:begChr m:val="["/>
                <m:endChr m:val="]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 xml:space="preserve">。手柄采用动轴 X–Y–Z 欧拉角：从 j1 到 j3 依次为滚转（roll）、俯仰（pitch）、偏航（yaw），经编码器零位与正向标定后分别记为 </w:t>
      </w:r>
      <m:oMath>
        <m:d>
          <m:d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ψ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</m:e>
        </m:d>
      </m:oMath>
      <w:r>
        <w:rPr>
          <w:rFonts w:hint="eastAsia"/>
          <w:sz w:val="20"/>
          <w:szCs w:val="20"/>
        </w:rPr>
        <w:t>，单位为弧度。主端旋转矩阵及位姿输入的齐次矩阵为</w:t>
      </w:r>
    </w:p>
    <w:tbl>
      <w:tblPr>
        <w:tblStyle w:val="10"/>
        <w:tblW w:w="4866" w:type="dxa"/>
        <w:tblCaption w:val="Equation 3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03EF2A8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61CA926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h,0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ψ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p>
                                <m:sSup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9CB4922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(32)</w:t>
            </w:r>
          </w:p>
        </w:tc>
      </w:tr>
    </w:tbl>
    <w:p w14:paraId="27CBECC9">
      <w:pPr>
        <w:pStyle w:val="7"/>
        <w:numPr>
          <w:ilvl w:val="0"/>
          <w:numId w:val="0"/>
        </w:numPr>
        <w:snapToGrid w:val="0"/>
        <w:rPr>
          <w:rFonts w:hint="eastAsia" w:eastAsia="宋体"/>
          <w:strike/>
          <w:dstrike w:val="0"/>
          <w:sz w:val="20"/>
          <w:highlight w:val="green"/>
          <w:lang w:eastAsia="zh-CN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h,0</m:t>
            </m:r>
          </m:sub>
        </m:sSub>
      </m:oMath>
      <w:r>
        <w:rPr>
          <w:rFonts w:hint="eastAsia"/>
          <w:sz w:val="20"/>
          <w:szCs w:val="20"/>
        </w:rPr>
        <w:t xml:space="preserve"> 为手柄零位姿态相对 {D} 的固定安装旋转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零位坐标轴与 {D} 对齐时，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h,0</m:t>
            </m:r>
          </m:sub>
        </m:sSub>
      </m:oMath>
      <w:r>
        <w:rPr>
          <w:rFonts w:hint="eastAsia"/>
          <w:sz w:val="20"/>
          <w:szCs w:val="20"/>
        </w:rPr>
        <w:t xml:space="preserve"> 等于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3</m:t>
            </m:r>
          </m:sub>
        </m:sSub>
      </m:oMath>
      <w:r>
        <w:rPr>
          <w:rFonts w:hint="eastAsia"/>
          <w:sz w:val="20"/>
          <w:szCs w:val="20"/>
        </w:rPr>
        <w:t>。动轴旋转依次右乘，故三个关节的旋转矩阵按 roll、pitch、yaw 排列。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</m:t>
            </m:r>
          </m:sub>
        </m:sSub>
      </m:oMath>
      <w:r>
        <w:rPr>
          <w:rFonts w:hint="eastAsia"/>
          <w:sz w:val="20"/>
          <w:szCs w:val="20"/>
        </w:rPr>
        <w:t xml:space="preserve"> 将手柄姿态坐标系的分量变换至 {D}</w:t>
      </w:r>
      <w:r>
        <w:rPr>
          <w:rFonts w:hint="eastAsia"/>
          <w:sz w:val="20"/>
          <w:szCs w:val="20"/>
          <w:lang w:eastAsia="zh-CN"/>
        </w:rPr>
        <w:t>。</w:t>
      </w:r>
    </w:p>
    <w:p w14:paraId="39B0740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将从端机械臂基坐标系记为 {A}，与 I-C 节的坐标系 {0} 一致。初始化时记录主端位置零点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D,0</m:t>
            </m:r>
          </m:sub>
        </m:sSub>
      </m:oMath>
      <w:r>
        <w:rPr>
          <w:rFonts w:hint="eastAsia"/>
          <w:sz w:val="20"/>
          <w:szCs w:val="20"/>
        </w:rPr>
        <w:t xml:space="preserve"> 和从端参考位置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A,0</m:t>
            </m:r>
          </m:sub>
        </m:sSub>
      </m:oMath>
      <w:r>
        <w:rPr>
          <w:rFonts w:hint="eastAsia"/>
          <w:sz w:val="20"/>
          <w:szCs w:val="20"/>
        </w:rPr>
        <w:t>，由主端矩阵中的位置、姿态分块计算从端目标：</w:t>
      </w:r>
    </w:p>
    <w:tbl>
      <w:tblPr>
        <w:tblStyle w:val="10"/>
        <w:tblW w:w="4866" w:type="dxa"/>
        <w:tblCaption w:val="Equation 3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64C666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1452D40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map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AD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D,0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AD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tool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6F9BD1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(33)</w:t>
            </w:r>
          </w:p>
        </w:tc>
      </w:tr>
    </w:tbl>
    <w:p w14:paraId="0BF1969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AD</m:t>
            </m:r>
          </m:sub>
        </m:sSub>
      </m:oMath>
      <w:r>
        <w:rPr>
          <w:rFonts w:hint="eastAsia"/>
          <w:sz w:val="20"/>
          <w:szCs w:val="20"/>
        </w:rPr>
        <w:t xml:space="preserve"> 将 {D} 中的分量旋转至 {A}；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map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=diag</m:t>
        </m:r>
        <m:d>
          <m:d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z</m:t>
                </m:r>
              </m:sub>
            </m:sSub>
          </m:e>
        </m:d>
      </m:oMath>
      <w:r>
        <w:rPr>
          <w:rFonts w:hint="eastAsia"/>
          <w:sz w:val="20"/>
          <w:szCs w:val="20"/>
        </w:rPr>
        <w:t xml:space="preserve"> 为无量纲位置缩放矩阵，沿从端基坐标轴分别缩放；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tool</m:t>
            </m:r>
          </m:sub>
        </m:sSub>
      </m:oMath>
      <w:r>
        <w:rPr>
          <w:rFonts w:hint="eastAsia"/>
          <w:sz w:val="20"/>
          <w:szCs w:val="20"/>
        </w:rPr>
        <w:t xml:space="preserve"> 为从端工具姿态相对手柄姿态的固定校准旋转。主端先完成姿态校准，再转换为 RPY 发送，因此接收端按同一动轴 X–Y–Z 约定还原后即可得到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A,d</m:t>
            </m:r>
          </m:sub>
        </m:sSub>
      </m:oMath>
      <w:r>
        <w:rPr>
          <w:rFonts w:hint="eastAsia"/>
          <w:sz w:val="20"/>
          <w:szCs w:val="20"/>
        </w:rPr>
        <w:t>。</w:t>
      </w:r>
    </w:p>
    <w:p w14:paraId="4BCDE9C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将(33)的目标位置和姿态重新组合，得到从端末端相对机械臂基座的目标齐次变换矩阵：</w:t>
      </w:r>
    </w:p>
    <w:tbl>
      <w:tblPr>
        <w:tblStyle w:val="10"/>
        <w:tblW w:w="4866" w:type="dxa"/>
        <w:tblCaption w:val="Equation 3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946FF9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C785F2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A,d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A,d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A,d</m:t>
                              </m:r>
                            </m:sub>
                          </m:sSub>
                        </m:e>
                      </m:mr>
                      <m:mr>
                        <m:e>
                          <m:sSup>
                            <m:sSup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1B38611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(34)</w:t>
            </w:r>
          </w:p>
        </w:tc>
      </w:tr>
    </w:tbl>
    <w:p w14:paraId="25B95CA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该矩阵的旋转块与平移列分别对应 I-C 节的末端目标姿态和位置，关节指令由解析逆运动学（inverse kinematics，IK）映射得到：</w:t>
      </w:r>
    </w:p>
    <w:tbl>
      <w:tblPr>
        <w:tblStyle w:val="10"/>
        <w:tblW w:w="4866" w:type="dxa"/>
        <w:tblCaption w:val="Equation 3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F292CF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993C877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06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, 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06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=IK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A,d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166FC4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(35)</w:t>
            </w:r>
          </w:p>
        </w:tc>
      </w:tr>
      <w:bookmarkEnd w:id="2"/>
      <w:bookmarkEnd w:id="11"/>
      <w:bookmarkEnd w:id="14"/>
    </w:tbl>
    <w:p w14:paraId="7A120001">
      <w:pPr>
        <w:pStyle w:val="2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II. 实验与结果（Experiments and Results）</w:t>
      </w:r>
    </w:p>
    <w:p w14:paraId="7A120002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ascii="Times New Roman" w:hAnsi="Times New Roman" w:eastAsia="宋体"/>
          <w:sz w:val="20"/>
          <w:szCs w:val="20"/>
        </w:rPr>
        <w:t>本节基于本文设计的机械结构进行</w:t>
      </w:r>
      <w:r>
        <w:rPr>
          <w:rFonts w:hint="eastAsia"/>
          <w:sz w:val="20"/>
          <w:szCs w:val="20"/>
          <w:lang w:val="en-US" w:eastAsia="zh-CN"/>
        </w:rPr>
        <w:t>仿真建模、</w:t>
      </w:r>
      <w:r>
        <w:rPr>
          <w:rFonts w:hint="eastAsia"/>
          <w:sz w:val="20"/>
          <w:szCs w:val="20"/>
        </w:rPr>
        <w:t>几何计算与工作空间分析，分别讨论底盘轮心、机械臂夹爪中心及遥操作控制器动平台中心的位置覆盖范围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用于说明结构参数与运动学映射之间的关系</w:t>
      </w:r>
      <w:r>
        <w:rPr>
          <w:rFonts w:hint="eastAsia"/>
          <w:sz w:val="20"/>
          <w:szCs w:val="20"/>
          <w:lang w:eastAsia="zh-CN"/>
        </w:rPr>
        <w:t>。</w:t>
      </w:r>
    </w:p>
    <w:p w14:paraId="7A120003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A. 底盘轮心工作空间</w:t>
      </w:r>
    </w:p>
    <w:p w14:paraId="7A1200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采用 TABLE I 中大腿和小腿的关节中心距 170 mm 和 220 mm，前后髋关节中心距为 360 mm。对选定构型进行几何计算，轮心至髋部的距离为 132.52–300.48 mm。进一步考虑横梁、轮胎及辅助连杆等实体之间的干涉，得到 Fig. 11 所示的前后轮心投影区域。该图以同侧前髋中心为绘图原点，横轴沿机身向后，纵轴向上；因此横轴与机体系的前向轴方向相反。</w:t>
      </w:r>
    </w:p>
    <w:p w14:paraId="7A120005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ascii="Times New Roman" w:hAnsi="Times New Roman" w:eastAsia="宋体"/>
          <w:sz w:val="20"/>
          <w:szCs w:val="20"/>
        </w:rPr>
        <w:t>采样结果中，前轮心相对髋部的竖直位置为 −</w:t>
      </w:r>
      <w:r>
        <w:rPr>
          <w:rFonts w:hint="eastAsia"/>
          <w:sz w:val="20"/>
          <w:szCs w:val="20"/>
        </w:rPr>
        <w:t>300.48 至 166.46 mm，后轮心为 −300.48 至 −17.50 mm。两区域</w:t>
      </w:r>
      <w:r>
        <w:rPr>
          <w:rFonts w:hint="eastAsia"/>
          <w:sz w:val="20"/>
          <w:szCs w:val="20"/>
          <w:lang w:val="en-US" w:eastAsia="zh-CN"/>
        </w:rPr>
        <w:t>是基于</w:t>
      </w:r>
      <w:r>
        <w:rPr>
          <w:rFonts w:hint="eastAsia"/>
          <w:sz w:val="20"/>
          <w:szCs w:val="20"/>
        </w:rPr>
        <w:t>分别允许另一条腿采取避让姿态</w:t>
      </w:r>
      <w:r>
        <w:rPr>
          <w:rFonts w:hint="eastAsia"/>
          <w:sz w:val="20"/>
          <w:szCs w:val="20"/>
          <w:lang w:val="en-US" w:eastAsia="zh-CN"/>
        </w:rPr>
        <w:t>前提下的单腿最大轮心活动空间分析</w:t>
      </w:r>
      <w:r>
        <w:rPr>
          <w:rFonts w:hint="eastAsia"/>
          <w:sz w:val="20"/>
          <w:szCs w:val="20"/>
        </w:rPr>
        <w:t>，</w:t>
      </w:r>
      <w:r>
        <w:rPr>
          <w:rFonts w:hint="eastAsia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</w:rPr>
        <w:t>不能将区域内任意两个位置直接组合为同时可达的前后轮目标。</w:t>
      </w:r>
      <w:r>
        <w:rPr>
          <w:rFonts w:hint="eastAsia"/>
          <w:sz w:val="20"/>
          <w:szCs w:val="20"/>
          <w:lang w:val="en-US" w:eastAsia="zh-CN"/>
        </w:rPr>
        <w:t>以上理论建模和分析</w:t>
      </w:r>
      <w:r>
        <w:rPr>
          <w:rFonts w:hint="eastAsia"/>
          <w:sz w:val="20"/>
          <w:szCs w:val="20"/>
        </w:rPr>
        <w:t>结果为支撑高度与轮心前后位置的选择提供</w:t>
      </w:r>
      <w:r>
        <w:rPr>
          <w:rFonts w:hint="eastAsia"/>
          <w:sz w:val="20"/>
          <w:szCs w:val="20"/>
          <w:lang w:val="en-US" w:eastAsia="zh-CN"/>
        </w:rPr>
        <w:t>了</w:t>
      </w:r>
      <w:r>
        <w:rPr>
          <w:rFonts w:hint="eastAsia"/>
          <w:sz w:val="20"/>
          <w:szCs w:val="20"/>
        </w:rPr>
        <w:t>几何参考，</w:t>
      </w:r>
      <w:r>
        <w:rPr>
          <w:rFonts w:hint="eastAsia"/>
          <w:sz w:val="20"/>
          <w:szCs w:val="20"/>
          <w:lang w:val="en-US" w:eastAsia="zh-CN"/>
        </w:rPr>
        <w:t>为进一步</w:t>
      </w:r>
      <w:r>
        <w:rPr>
          <w:rFonts w:hint="eastAsia"/>
          <w:sz w:val="20"/>
          <w:szCs w:val="20"/>
        </w:rPr>
        <w:t>整机运动规划</w:t>
      </w:r>
      <w:r>
        <w:rPr>
          <w:rFonts w:hint="eastAsia"/>
          <w:sz w:val="20"/>
          <w:szCs w:val="20"/>
          <w:lang w:val="en-US" w:eastAsia="zh-CN"/>
        </w:rPr>
        <w:t>准备了条件</w:t>
      </w:r>
      <w:r>
        <w:rPr>
          <w:rFonts w:hint="eastAsia"/>
          <w:sz w:val="20"/>
          <w:szCs w:val="20"/>
        </w:rPr>
        <w:t>。</w:t>
      </w:r>
    </w:p>
    <w:p w14:paraId="7A120006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751965"/>
            <wp:effectExtent l="0" t="0" r="0" b="0"/>
            <wp:docPr id="35" name="Fig. 11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. 11" descr="Geometric workspace illustrati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07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>Fig. 11. 前后腿轮心的二维工作空间示意。蓝色与橙色分别表示前轮和后轮的位置覆盖区域；绘图原点位于前髋中心，横轴向后、纵轴向上。</w:t>
      </w:r>
    </w:p>
    <w:p w14:paraId="7A120008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B. 机械臂夹爪中心工作空间</w:t>
      </w:r>
    </w:p>
    <w:p w14:paraId="7A12000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机械臂工作空间</w:t>
      </w:r>
      <w:r>
        <w:rPr>
          <w:rFonts w:hint="eastAsia"/>
          <w:sz w:val="20"/>
          <w:szCs w:val="20"/>
        </w:rPr>
        <w:t>采用</w:t>
      </w:r>
      <w:r>
        <w:rPr>
          <w:rFonts w:hint="eastAsia"/>
          <w:sz w:val="20"/>
          <w:szCs w:val="20"/>
          <w:lang w:val="en-US" w:eastAsia="zh-CN"/>
        </w:rPr>
        <w:t>前文</w:t>
      </w:r>
      <w:r>
        <w:rPr>
          <w:rFonts w:hint="eastAsia"/>
          <w:sz w:val="20"/>
          <w:szCs w:val="20"/>
        </w:rPr>
        <w:t>机械结构模型中的关节中心距与工具尺寸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val="en-US" w:eastAsia="zh-CN"/>
        </w:rPr>
        <w:t>在不计机器人实体碰撞的情况下进行理论分析和仿真建模，初步探索六轴机械臂理论可达的最大工作空间</w:t>
      </w:r>
      <w:r>
        <w:rPr>
          <w:rFonts w:hint="eastAsia"/>
          <w:sz w:val="20"/>
          <w:szCs w:val="20"/>
        </w:rPr>
        <w:t>。其中，第二至第三关节的</w:t>
      </w:r>
      <w:r>
        <w:rPr>
          <w:rFonts w:hint="eastAsia"/>
          <w:sz w:val="20"/>
          <w:szCs w:val="20"/>
          <w:lang w:eastAsia="zh-CN"/>
        </w:rPr>
        <w:t>轴间距</w:t>
      </w:r>
      <w:r>
        <w:rPr>
          <w:rFonts w:hint="eastAsia"/>
          <w:sz w:val="20"/>
          <w:szCs w:val="20"/>
        </w:rPr>
        <w:t>为 360 mm，第三关节至腕心的轴向距离</w:t>
      </w:r>
      <w:r>
        <w:rPr>
          <w:rFonts w:hint="eastAsia"/>
          <w:sz w:val="20"/>
          <w:szCs w:val="20"/>
          <w:lang w:eastAsia="zh-CN"/>
        </w:rPr>
        <w:t>轴</w:t>
      </w:r>
      <w:r>
        <w:rPr>
          <w:rFonts w:hint="eastAsia"/>
          <w:sz w:val="20"/>
          <w:szCs w:val="20"/>
          <w:lang w:val="en-US" w:eastAsia="zh-CN"/>
        </w:rPr>
        <w:t>-</w:t>
      </w:r>
      <w:r>
        <w:rPr>
          <w:rFonts w:hint="eastAsia"/>
          <w:sz w:val="20"/>
          <w:szCs w:val="20"/>
          <w:lang w:eastAsia="zh-CN"/>
        </w:rPr>
        <w:t>点距离</w:t>
      </w:r>
      <w:r>
        <w:rPr>
          <w:rFonts w:hint="eastAsia"/>
          <w:sz w:val="20"/>
          <w:szCs w:val="20"/>
        </w:rPr>
        <w:t>为 382 mm，腕心至夹爪中心的工具轴向距离为 184.1 mm。</w:t>
      </w:r>
      <w:r>
        <w:rPr>
          <w:rFonts w:hint="eastAsia"/>
          <w:sz w:val="20"/>
          <w:szCs w:val="20"/>
          <w:lang w:eastAsia="zh-CN"/>
        </w:rPr>
        <w:t>以机械臂坐标系</w:t>
      </w:r>
      <w:r>
        <w:rPr>
          <w:rFonts w:hint="eastAsia"/>
          <w:sz w:val="20"/>
          <w:szCs w:val="20"/>
          <w:lang w:val="en-US" w:eastAsia="zh-CN"/>
        </w:rPr>
        <w:t>{0}作为参考坐标系，对机械臂工作空间进行蒙特卡洛采样，</w:t>
      </w:r>
      <w:r>
        <w:rPr>
          <w:rFonts w:hint="eastAsia"/>
          <w:sz w:val="20"/>
          <w:szCs w:val="20"/>
        </w:rPr>
        <w:t>并将夹爪中心</w:t>
      </w:r>
      <w:r>
        <w:rPr>
          <w:rFonts w:ascii="Times New Roman" w:hAnsi="Times New Roman" w:eastAsia="宋体"/>
          <w:sz w:val="20"/>
          <w:szCs w:val="20"/>
        </w:rPr>
        <w:t>位置绘制为三维点云及径向–高度投影，如 Fig. 12 所示。</w:t>
      </w:r>
    </w:p>
    <w:p w14:paraId="7A120010">
      <w:pPr>
        <w:pStyle w:val="7"/>
        <w:numPr>
          <w:ilvl w:val="0"/>
          <w:numId w:val="0"/>
        </w:numPr>
        <w:snapToGrid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根据仿真结果，</w:t>
      </w:r>
      <w:r>
        <w:rPr>
          <w:rFonts w:hint="eastAsia"/>
          <w:sz w:val="20"/>
          <w:szCs w:val="20"/>
        </w:rPr>
        <w:t>夹爪中心的采样最大径向距离为 820.66 mm，竖直</w:t>
      </w:r>
      <w:r>
        <w:rPr>
          <w:rFonts w:hint="eastAsia"/>
          <w:sz w:val="20"/>
          <w:szCs w:val="20"/>
          <w:lang w:eastAsia="zh-CN"/>
        </w:rPr>
        <w:t>可达区间</w:t>
      </w:r>
      <w:r>
        <w:rPr>
          <w:rFonts w:hint="eastAsia"/>
          <w:sz w:val="20"/>
          <w:szCs w:val="20"/>
        </w:rPr>
        <w:t>为 −237.44 至 683.52 mm。</w:t>
      </w:r>
      <w:r>
        <w:rPr>
          <w:rFonts w:hint="eastAsia"/>
          <w:sz w:val="20"/>
          <w:szCs w:val="20"/>
          <w:lang w:val="en-US" w:eastAsia="zh-CN"/>
        </w:rPr>
        <w:t>在此基础上，结合四轮足底盘升降，还可以通过改变机械臂基座在世界坐标系中的位置，进一步扩大机器人末端位置覆盖范围。</w:t>
      </w:r>
    </w:p>
    <w:p w14:paraId="7A12001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879725" cy="4325620"/>
            <wp:effectExtent l="0" t="0" r="6350" b="8255"/>
            <wp:docPr id="36" name="Fig. 12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. 12" descr="Geometric workspace illustration"/>
                    <pic:cNvPicPr>
                      <a:picLocks noChangeAspect="1"/>
                    </pic:cNvPicPr>
                  </pic:nvPicPr>
                  <pic:blipFill>
                    <a:blip r:embed="rId18"/>
                    <a:srcRect l="33333" r="33333" b="32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12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>Fig. 12. 夹爪中心的位置工作空间。上图为三维采样点云，下图为径向–高度投影。</w:t>
      </w:r>
    </w:p>
    <w:p w14:paraId="7A120013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C. 遥操作控制器平移工作空间</w:t>
      </w:r>
    </w:p>
    <w:p w14:paraId="7A120014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lang w:val="en-US" w:eastAsia="zh-CN"/>
        </w:rPr>
      </w:pPr>
      <w:r>
        <w:rPr>
          <w:rFonts w:ascii="Times New Roman" w:hAnsi="Times New Roman" w:eastAsia="宋体"/>
          <w:sz w:val="20"/>
          <w:szCs w:val="20"/>
        </w:rPr>
        <w:t>采用 TABLE II 的 Delta 机构几何参数，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同样在不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计构件之间的实体碰撞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只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考虑支链几何关系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的前提下进行仿真建模，</w:t>
      </w:r>
      <w:r>
        <w:rPr>
          <w:rFonts w:ascii="Times New Roman" w:hAnsi="Times New Roman" w:eastAsia="宋体"/>
          <w:sz w:val="20"/>
          <w:szCs w:val="20"/>
        </w:rPr>
        <w:t>分析动平台中心位于工作侧时的</w:t>
      </w:r>
      <w:r>
        <w:rPr>
          <w:rFonts w:hint="eastAsia"/>
          <w:color w:val="FF0000"/>
          <w:sz w:val="20"/>
          <w:szCs w:val="20"/>
          <w:lang w:val="en-US" w:eastAsia="zh-CN"/>
        </w:rPr>
        <w:t>理论</w:t>
      </w:r>
      <w:r>
        <w:rPr>
          <w:rFonts w:ascii="Times New Roman" w:hAnsi="Times New Roman" w:eastAsia="宋体"/>
          <w:sz w:val="20"/>
          <w:szCs w:val="20"/>
        </w:rPr>
        <w:t>几何可达位置，</w:t>
      </w:r>
      <w:r>
        <w:rPr>
          <w:rFonts w:ascii="Times New Roman" w:hAnsi="Times New Roman" w:eastAsia="宋体"/>
          <w:sz w:val="20"/>
          <w:szCs w:val="20"/>
          <w:highlight w:val="yellow"/>
        </w:rPr>
        <w:t>并将结果统一表达于本文定义的右手坐标系 {D}。</w:t>
      </w:r>
      <w:r>
        <w:rPr>
          <w:rFonts w:ascii="Times New Roman" w:hAnsi="Times New Roman" w:eastAsia="宋体"/>
          <w:sz w:val="20"/>
          <w:szCs w:val="20"/>
        </w:rPr>
        <w:t>Fig. 13 给出三维工作空间示意</w:t>
      </w:r>
      <w:r>
        <w:rPr>
          <w:rFonts w:hint="eastAsia"/>
          <w:sz w:val="20"/>
          <w:szCs w:val="20"/>
          <w:lang w:eastAsia="zh-CN"/>
        </w:rPr>
        <w:t>。</w:t>
      </w:r>
    </w:p>
    <w:p w14:paraId="7A120015">
      <w:pPr>
        <w:pStyle w:val="7"/>
        <w:numPr>
          <w:ilvl w:val="0"/>
          <w:numId w:val="0"/>
        </w:numPr>
        <w:snapToGrid w:val="0"/>
        <w:rPr>
          <w:sz w:val="20"/>
          <w:highlight w:val="yellow"/>
        </w:rPr>
      </w:pPr>
      <w:r>
        <w:rPr>
          <w:rFonts w:ascii="Times New Roman" w:hAnsi="Times New Roman" w:eastAsia="宋体"/>
          <w:sz w:val="20"/>
          <w:szCs w:val="20"/>
        </w:rPr>
        <w:t xml:space="preserve">沿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的外包络坐标范围依次为 −348.80 至 0.00 mm、−200.00 至 200.00 mm 和 −230.94 至 230.94 mm，对应尺寸为 348.80 × 400.00 × 461.88 mm。中心轴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=0</m:t>
        </m:r>
      </m:oMath>
      <w:r>
        <w:rPr>
          <w:rFonts w:ascii="Times New Roman" w:hAnsi="Times New Roman" w:eastAsia="宋体"/>
          <w:sz w:val="20"/>
          <w:szCs w:val="20"/>
        </w:rPr>
        <w:t xml:space="preserve"> 上，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的可达区间为 −348.80 至 −89.21 mm。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以上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外包络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坐标范围仅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给出各方向的坐标跨度，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但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其内部长方体并非全部可达；静平台附近还存在由支链几何关系形成的不可达区域。</w:t>
      </w:r>
    </w:p>
    <w:p w14:paraId="7A12001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上述结果描述主手的平移输入空间，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为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位置映射比例与操作参考点选择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提供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依据。</w:t>
      </w:r>
      <w:r>
        <w:rPr>
          <w:rFonts w:ascii="Times New Roman" w:hAnsi="Times New Roman" w:eastAsia="宋体"/>
          <w:sz w:val="20"/>
          <w:szCs w:val="20"/>
        </w:rPr>
        <w:t>配合手柄上的</w:t>
      </w:r>
      <w:r>
        <w:rPr>
          <w:rFonts w:hint="eastAsia"/>
          <w:sz w:val="20"/>
          <w:szCs w:val="20"/>
          <w:highlight w:val="green"/>
          <w:lang w:eastAsia="zh-CN"/>
        </w:rPr>
        <w:t>重初始化</w:t>
      </w:r>
      <w:r>
        <w:rPr>
          <w:rFonts w:ascii="Times New Roman" w:hAnsi="Times New Roman" w:eastAsia="宋体"/>
          <w:sz w:val="20"/>
          <w:szCs w:val="20"/>
        </w:rPr>
        <w:t>按钮，可在保持从端目标连续的同时分段调整主手参考位置；三轴手柄的姿态输入则继续按前述动轴 RPY 顺序独立计算。</w:t>
      </w:r>
    </w:p>
    <w:p w14:paraId="7A120017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712085"/>
            <wp:effectExtent l="0" t="0" r="7620" b="2540"/>
            <wp:docPr id="37" name="Fig. 13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. 13" descr="Geometric workspace illustration"/>
                    <pic:cNvPicPr>
                      <a:picLocks noChangeAspect="1"/>
                    </pic:cNvPicPr>
                  </pic:nvPicPr>
                  <pic:blipFill>
                    <a:blip r:embed="rId19"/>
                    <a:srcRect r="34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18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 xml:space="preserve">Fig. 13. Delta 动平台中心的三维工作空间示意，工作侧为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&lt;0</m:t>
        </m:r>
      </m:oMath>
      <w:r>
        <w:rPr>
          <w:rFonts w:ascii="Times New Roman" w:hAnsi="Times New Roman" w:eastAsia="宋体"/>
          <w:sz w:val="18"/>
          <w:szCs w:val="18"/>
        </w:rPr>
        <w:t xml:space="preserve">。图中沿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>、</w:t>
      </w:r>
      <m:oMath>
        <m:r>
          <m:rPr>
            <m:sty m:val="p"/>
          </m:rPr>
          <w:rPr>
            <w:rFonts w:ascii="Cambria Math" w:hAnsi="Cambria Math"/>
            <w:sz w:val="20"/>
          </w:rPr>
          <m:t>−</m:t>
        </m:r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 xml:space="preserve"> 显示位置，虚线圆表示静平台连接点分布圆。</w:t>
      </w:r>
    </w:p>
    <w:p w14:paraId="3A278C2B">
      <w:pPr>
        <w:pStyle w:val="2"/>
        <w:numPr>
          <w:ilvl w:val="0"/>
          <w:numId w:val="0"/>
        </w:numPr>
        <w:snapToGrid w:val="0"/>
      </w:pPr>
      <w:bookmarkStart w:id="15" w:name="v.-结论conclusion"/>
      <w:r>
        <w:t>III. 结论</w:t>
      </w:r>
      <w:r>
        <w:rPr>
          <w:rFonts w:hint="eastAsia"/>
        </w:rPr>
        <w:t>（Conclusion）</w:t>
      </w:r>
    </w:p>
    <w:p w14:paraId="651E6B08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本文围绕麦克纳姆轮四足底盘、六轴机械臂和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异构遥操作控制器，提出了结构设计、运动学映射与底盘模型前馈相结合的系统方案。底盘通过两关节轮腿和麦克纳姆轮实现支撑调节与平面移动，控制采用单腿虚功映射和整机单刚体分配；机械臂通过腕心定位与球腕定姿，将末端目标位姿转换为关节指令；主端通过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平移、三编码器姿态输入与坐标缩放连接操作者和机器人。</w:t>
      </w:r>
    </w:p>
    <w:p w14:paraId="44400D9C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highlight w:val="yellow"/>
          <w:lang w:val="en-US" w:eastAsia="zh-CN"/>
        </w:rPr>
      </w:pPr>
      <w:r>
        <w:rPr>
          <w:rFonts w:hint="eastAsia"/>
          <w:sz w:val="20"/>
          <w:szCs w:val="20"/>
        </w:rPr>
        <w:t>本文形成了底盘移动与姿态控制、机械臂逆运动学及主从位姿映射相结合的控制流程。几何工作空间分析进一步给出了轮心、夹爪中心与主手动平台的位置覆盖范围，为结构参数选取及位姿映射提供了依据。</w:t>
      </w:r>
    </w:p>
    <w:bookmarkEnd w:id="15"/>
    <w:p w14:paraId="7FEF48C1">
      <w:pPr>
        <w:pStyle w:val="6"/>
        <w:keepNext/>
        <w:numPr>
          <w:ilvl w:val="0"/>
          <w:numId w:val="0"/>
        </w:numPr>
        <w:snapToGrid w:val="0"/>
      </w:pPr>
      <w:bookmarkStart w:id="16" w:name="致谢acknowledgment"/>
      <w:bookmarkStart w:id="17" w:name="_GoBack"/>
      <w:r>
        <w:rPr>
          <w:rFonts w:hint="eastAsia"/>
        </w:rPr>
        <w:t>致谢（Acknowledgment）</w:t>
      </w:r>
    </w:p>
    <w:bookmarkEnd w:id="17"/>
    <w:p w14:paraId="415C08CB">
      <w:pPr>
        <w:pStyle w:val="7"/>
        <w:numPr>
          <w:ilvl w:val="0"/>
          <w:numId w:val="0"/>
        </w:numPr>
        <w:snapToGrid w:val="0"/>
        <w:rPr>
          <w:sz w:val="20"/>
        </w:rPr>
      </w:pPr>
    </w:p>
    <w:bookmarkEnd w:id="0"/>
    <w:bookmarkEnd w:id="16"/>
    <w:p w14:paraId="0ABBFEB5">
      <w:pPr>
        <w:numPr>
          <w:ilvl w:val="0"/>
          <w:numId w:val="0"/>
        </w:numPr>
        <w:snapToGrid w:val="0"/>
        <w:spacing w:before="0" w:after="0" w:line="1" w:lineRule="exact"/>
        <w:sectPr>
          <w:type w:val="continuous"/>
          <w:pgSz w:w="11906" w:h="16838"/>
          <w:pgMar w:top="1080" w:right="907" w:bottom="1440" w:left="907" w:header="720" w:footer="720" w:gutter="0"/>
          <w:cols w:space="360" w:num="2"/>
          <w:docGrid w:linePitch="360" w:charSpace="0"/>
        </w:sectPr>
      </w:pPr>
    </w:p>
    <w:p w14:paraId="3394C80F">
      <w:pPr>
        <w:rPr>
          <w:rFonts w:hint="default"/>
        </w:rPr>
      </w:pPr>
      <w:r>
        <w:rPr>
          <w:rFonts w:hint="default"/>
        </w:rPr>
        <w:t>+</w:t>
      </w:r>
    </w:p>
    <w:sectPr>
      <w:type w:val="continuous"/>
      <w:pgSz w:w="11906" w:h="16838"/>
      <w:pgMar w:top="1080" w:right="893" w:bottom="1440" w:left="89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MS Gothic"/>
    <w:panose1 w:val="02020609040205080304"/>
    <w:charset w:val="0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朱雀仿宋（预览测试版）">
    <w:panose1 w:val="02000502050000000000"/>
    <w:charset w:val="86"/>
    <w:family w:val="auto"/>
    <w:pitch w:val="default"/>
    <w:sig w:usb0="E00002FF" w:usb1="4A07607B" w:usb2="00000010" w:usb3="00000000" w:csb0="0004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FE1FCF"/>
    <w:multiLevelType w:val="multilevel"/>
    <w:tmpl w:val="26FE1FCF"/>
    <w:lvl w:ilvl="0" w:tentative="0">
      <w:start w:val="1"/>
      <w:numFmt w:val="decimal"/>
      <w:pStyle w:val="19"/>
      <w:lvlText w:val="%1 "/>
      <w:lvlJc w:val="left"/>
      <w:pPr>
        <w:tabs>
          <w:tab w:val="left" w:pos="648"/>
        </w:tabs>
        <w:ind w:firstLine="28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>
    <w:nsid w:val="37660336"/>
    <w:multiLevelType w:val="multilevel"/>
    <w:tmpl w:val="37660336"/>
    <w:lvl w:ilvl="0" w:tentative="0">
      <w:start w:val="1"/>
      <w:numFmt w:val="bullet"/>
      <w:pStyle w:val="16"/>
      <w:lvlText w:val=""/>
      <w:lvlJc w:val="left"/>
      <w:pPr>
        <w:tabs>
          <w:tab w:val="left" w:pos="648"/>
        </w:tabs>
        <w:ind w:left="6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189603E"/>
    <w:multiLevelType w:val="multilevel"/>
    <w:tmpl w:val="4189603E"/>
    <w:lvl w:ilvl="0" w:tentative="0">
      <w:start w:val="1"/>
      <w:numFmt w:val="upperRoman"/>
      <w:pStyle w:val="2"/>
      <w:lvlText w:val="%1."/>
      <w:lvlJc w:val="center"/>
      <w:pPr>
        <w:tabs>
          <w:tab w:val="left" w:pos="576"/>
        </w:tabs>
        <w:ind w:firstLine="216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upperLetter"/>
      <w:pStyle w:val="3"/>
      <w:lvlText w:val="%2."/>
      <w:lvlJc w:val="left"/>
      <w:pPr>
        <w:tabs>
          <w:tab w:val="left" w:pos="360"/>
        </w:tabs>
        <w:ind w:left="288" w:hanging="288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3)"/>
      <w:lvlJc w:val="left"/>
      <w:pPr>
        <w:tabs>
          <w:tab w:val="left" w:pos="540"/>
        </w:tabs>
        <w:ind w:firstLine="180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lowerLetter"/>
      <w:pStyle w:val="5"/>
      <w:lvlText w:val="%4)"/>
      <w:lvlJc w:val="left"/>
      <w:pPr>
        <w:tabs>
          <w:tab w:val="left" w:pos="630"/>
        </w:tabs>
        <w:ind w:firstLine="360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 w:tentative="0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hint="default" w:cs="Times New Roman"/>
      </w:rPr>
    </w:lvl>
  </w:abstractNum>
  <w:abstractNum w:abstractNumId="3">
    <w:nsid w:val="493C3F76"/>
    <w:multiLevelType w:val="multilevel"/>
    <w:tmpl w:val="493C3F76"/>
    <w:lvl w:ilvl="0" w:tentative="0">
      <w:start w:val="1"/>
      <w:numFmt w:val="lowerLetter"/>
      <w:pStyle w:val="27"/>
      <w:lvlText w:val="%1."/>
      <w:lvlJc w:val="right"/>
      <w:pPr>
        <w:ind w:left="418" w:hanging="360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CA544A"/>
    <w:multiLevelType w:val="singleLevel"/>
    <w:tmpl w:val="52CA544A"/>
    <w:lvl w:ilvl="0" w:tentative="0">
      <w:start w:val="1"/>
      <w:numFmt w:val="decimal"/>
      <w:pStyle w:val="22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5">
    <w:nsid w:val="6C402C58"/>
    <w:multiLevelType w:val="multilevel"/>
    <w:tmpl w:val="6C402C58"/>
    <w:lvl w:ilvl="0" w:tentative="0">
      <w:start w:val="1"/>
      <w:numFmt w:val="decimal"/>
      <w:pStyle w:val="18"/>
      <w:lvlText w:val="Fig. %1.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6">
    <w:nsid w:val="6CD32DA8"/>
    <w:multiLevelType w:val="singleLevel"/>
    <w:tmpl w:val="6CD32DA8"/>
    <w:lvl w:ilvl="0" w:tentative="0">
      <w:start w:val="1"/>
      <w:numFmt w:val="upperRoman"/>
      <w:pStyle w:val="28"/>
      <w:lvlText w:val="TABLE %1. "/>
      <w:lvlJc w:val="left"/>
      <w:pPr>
        <w:tabs>
          <w:tab w:val="left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  <w:rsid w:val="011267DB"/>
    <w:rsid w:val="01A35F8B"/>
    <w:rsid w:val="01E738C7"/>
    <w:rsid w:val="04722DC8"/>
    <w:rsid w:val="05253A9F"/>
    <w:rsid w:val="05EB23CD"/>
    <w:rsid w:val="067D77AC"/>
    <w:rsid w:val="06A83220"/>
    <w:rsid w:val="077E14C0"/>
    <w:rsid w:val="08CA6B0B"/>
    <w:rsid w:val="0D3F64F1"/>
    <w:rsid w:val="0E0802A4"/>
    <w:rsid w:val="0E73251E"/>
    <w:rsid w:val="0F5F6850"/>
    <w:rsid w:val="121B57EB"/>
    <w:rsid w:val="15B381E1"/>
    <w:rsid w:val="16F86BD3"/>
    <w:rsid w:val="19F53BDA"/>
    <w:rsid w:val="1B634C1A"/>
    <w:rsid w:val="1DFE0D7B"/>
    <w:rsid w:val="1F72557D"/>
    <w:rsid w:val="1FE3647B"/>
    <w:rsid w:val="1FEB3B7D"/>
    <w:rsid w:val="22C06271"/>
    <w:rsid w:val="232D622D"/>
    <w:rsid w:val="23AC3027"/>
    <w:rsid w:val="241C01AD"/>
    <w:rsid w:val="26D631BF"/>
    <w:rsid w:val="26D8520E"/>
    <w:rsid w:val="28035DDB"/>
    <w:rsid w:val="29406095"/>
    <w:rsid w:val="29C25891"/>
    <w:rsid w:val="2BA56E96"/>
    <w:rsid w:val="2C1A1476"/>
    <w:rsid w:val="2C713B2E"/>
    <w:rsid w:val="2C924D9F"/>
    <w:rsid w:val="2E54278D"/>
    <w:rsid w:val="2FBF5FC8"/>
    <w:rsid w:val="326500FD"/>
    <w:rsid w:val="32AE1A99"/>
    <w:rsid w:val="32B6731B"/>
    <w:rsid w:val="367D3DB6"/>
    <w:rsid w:val="36A74F98"/>
    <w:rsid w:val="36FE37EA"/>
    <w:rsid w:val="37410393"/>
    <w:rsid w:val="38990E1F"/>
    <w:rsid w:val="38C56C0D"/>
    <w:rsid w:val="3A235B6D"/>
    <w:rsid w:val="3A336BFE"/>
    <w:rsid w:val="3BEE647B"/>
    <w:rsid w:val="3DCB6A74"/>
    <w:rsid w:val="3E500D27"/>
    <w:rsid w:val="3FB56340"/>
    <w:rsid w:val="40925627"/>
    <w:rsid w:val="47D2657C"/>
    <w:rsid w:val="47FBC7DB"/>
    <w:rsid w:val="486C2C02"/>
    <w:rsid w:val="4A031344"/>
    <w:rsid w:val="4AF0020B"/>
    <w:rsid w:val="4AF313B8"/>
    <w:rsid w:val="4B2B0B52"/>
    <w:rsid w:val="515F043C"/>
    <w:rsid w:val="529D2F49"/>
    <w:rsid w:val="53511372"/>
    <w:rsid w:val="53F7B579"/>
    <w:rsid w:val="561769D4"/>
    <w:rsid w:val="563A1C5C"/>
    <w:rsid w:val="573F9BFE"/>
    <w:rsid w:val="57810A1C"/>
    <w:rsid w:val="583354EA"/>
    <w:rsid w:val="58CD5A9A"/>
    <w:rsid w:val="5EE055E8"/>
    <w:rsid w:val="60044C25"/>
    <w:rsid w:val="60BC2157"/>
    <w:rsid w:val="60F77E46"/>
    <w:rsid w:val="62F24963"/>
    <w:rsid w:val="63F43C78"/>
    <w:rsid w:val="64030466"/>
    <w:rsid w:val="650D2C1F"/>
    <w:rsid w:val="66056FB3"/>
    <w:rsid w:val="670B1D28"/>
    <w:rsid w:val="677EF307"/>
    <w:rsid w:val="68BE7F21"/>
    <w:rsid w:val="69FD31CD"/>
    <w:rsid w:val="6B4E24B7"/>
    <w:rsid w:val="6BFF494D"/>
    <w:rsid w:val="6D4FA37E"/>
    <w:rsid w:val="6D7500E7"/>
    <w:rsid w:val="6E271993"/>
    <w:rsid w:val="6EFF9550"/>
    <w:rsid w:val="6FFD60F7"/>
    <w:rsid w:val="71D16BD8"/>
    <w:rsid w:val="7238067D"/>
    <w:rsid w:val="7337799B"/>
    <w:rsid w:val="73D14A40"/>
    <w:rsid w:val="75D62912"/>
    <w:rsid w:val="76286D4A"/>
    <w:rsid w:val="777B5E17"/>
    <w:rsid w:val="7A6D2D01"/>
    <w:rsid w:val="7B660D60"/>
    <w:rsid w:val="7BAD43ED"/>
    <w:rsid w:val="7CFFB4DD"/>
    <w:rsid w:val="7D7BC468"/>
    <w:rsid w:val="7DB3EA36"/>
    <w:rsid w:val="7DB9D918"/>
    <w:rsid w:val="7DDBEB2D"/>
    <w:rsid w:val="7E7E08A7"/>
    <w:rsid w:val="7F5F94B6"/>
    <w:rsid w:val="7F7C0272"/>
    <w:rsid w:val="7FFB82DC"/>
    <w:rsid w:val="7FFD2014"/>
    <w:rsid w:val="7FFE82C9"/>
    <w:rsid w:val="97D6FE95"/>
    <w:rsid w:val="9FEEC92C"/>
    <w:rsid w:val="AD7BF3F0"/>
    <w:rsid w:val="B31DD456"/>
    <w:rsid w:val="BB7B8C1E"/>
    <w:rsid w:val="BBFFEEA7"/>
    <w:rsid w:val="C7EFD916"/>
    <w:rsid w:val="D1E9525F"/>
    <w:rsid w:val="DBFFB575"/>
    <w:rsid w:val="DE3FEC34"/>
    <w:rsid w:val="E7EDD1E5"/>
    <w:rsid w:val="EB3D77CB"/>
    <w:rsid w:val="F6FFE050"/>
    <w:rsid w:val="F7FB23B8"/>
    <w:rsid w:val="FB9FCC72"/>
    <w:rsid w:val="FFAEC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288"/>
        <w:tab w:val="clear" w:pos="360"/>
      </w:tabs>
      <w:spacing w:before="120" w:after="60"/>
      <w:jc w:val="left"/>
      <w:outlineLvl w:val="1"/>
    </w:pPr>
    <w:rPr>
      <w:i/>
      <w:iCs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tabs>
        <w:tab w:val="left" w:pos="720"/>
        <w:tab w:val="clear" w:pos="630"/>
      </w:tabs>
      <w:spacing w:before="40" w:after="40"/>
      <w:ind w:firstLine="504"/>
      <w:jc w:val="both"/>
      <w:outlineLvl w:val="3"/>
    </w:pPr>
    <w:rPr>
      <w:i/>
      <w:iCs/>
    </w:rPr>
  </w:style>
  <w:style w:type="paragraph" w:styleId="6">
    <w:name w:val="heading 5"/>
    <w:basedOn w:val="1"/>
    <w:next w:val="1"/>
    <w:qFormat/>
    <w:uiPriority w:val="0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qFormat/>
    <w:uiPriority w:val="0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styleId="8">
    <w:name w:val="footer"/>
    <w:basedOn w:val="1"/>
    <w:link w:val="31"/>
    <w:qFormat/>
    <w:uiPriority w:val="0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30"/>
    <w:qFormat/>
    <w:uiPriority w:val="0"/>
    <w:pPr>
      <w:tabs>
        <w:tab w:val="center" w:pos="4680"/>
        <w:tab w:val="right" w:pos="9360"/>
      </w:tabs>
    </w:pPr>
  </w:style>
  <w:style w:type="paragraph" w:customStyle="1" w:styleId="12">
    <w:name w:val="Abstract"/>
    <w:qFormat/>
    <w:uiPriority w:val="0"/>
    <w:pPr>
      <w:spacing w:after="200"/>
      <w:ind w:firstLine="272"/>
      <w:jc w:val="both"/>
    </w:pPr>
    <w:rPr>
      <w:rFonts w:ascii="Times New Roman" w:hAnsi="Times New Roman" w:eastAsia="宋体" w:cs="Times New Roman"/>
      <w:b/>
      <w:bCs/>
      <w:sz w:val="18"/>
      <w:szCs w:val="18"/>
      <w:lang w:val="en-US" w:eastAsia="en-US" w:bidi="ar-SA"/>
    </w:rPr>
  </w:style>
  <w:style w:type="paragraph" w:customStyle="1" w:styleId="13">
    <w:name w:val="Affiliation"/>
    <w:qFormat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14">
    <w:name w:val="Author"/>
    <w:qFormat/>
    <w:uiPriority w:val="0"/>
    <w:pPr>
      <w:spacing w:before="360" w:after="40"/>
      <w:jc w:val="center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5">
    <w:name w:val="Body Text Char"/>
    <w:link w:val="7"/>
    <w:qFormat/>
    <w:uiPriority w:val="0"/>
    <w:rPr>
      <w:spacing w:val="-1"/>
      <w:lang w:val="zh-CN" w:eastAsia="zh-CN"/>
    </w:rPr>
  </w:style>
  <w:style w:type="paragraph" w:customStyle="1" w:styleId="16">
    <w:name w:val="bullet list"/>
    <w:basedOn w:val="7"/>
    <w:qFormat/>
    <w:uiPriority w:val="0"/>
    <w:pPr>
      <w:numPr>
        <w:ilvl w:val="0"/>
        <w:numId w:val="2"/>
      </w:numPr>
      <w:tabs>
        <w:tab w:val="clear" w:pos="648"/>
      </w:tabs>
      <w:ind w:left="576" w:hanging="288"/>
    </w:pPr>
  </w:style>
  <w:style w:type="paragraph" w:customStyle="1" w:styleId="17">
    <w:name w:val="equation"/>
    <w:basedOn w:val="1"/>
    <w:qFormat/>
    <w:uiPriority w:val="0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18">
    <w:name w:val="figure caption"/>
    <w:qFormat/>
    <w:uiPriority w:val="0"/>
    <w:pPr>
      <w:numPr>
        <w:ilvl w:val="0"/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19">
    <w:name w:val="footnote"/>
    <w:qFormat/>
    <w:uiPriority w:val="0"/>
    <w:pPr>
      <w:framePr w:hSpace="187" w:vSpace="187" w:wrap="notBeside" w:vAnchor="text" w:hAnchor="page" w:x="6121" w:y="577"/>
      <w:numPr>
        <w:ilvl w:val="0"/>
        <w:numId w:val="4"/>
      </w:numPr>
      <w:spacing w:after="40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0">
    <w:name w:val="paper subtitle"/>
    <w:qFormat/>
    <w:uiPriority w:val="0"/>
    <w:pPr>
      <w:spacing w:after="120"/>
      <w:jc w:val="center"/>
    </w:pPr>
    <w:rPr>
      <w:rFonts w:ascii="Times New Roman" w:hAnsi="Times New Roman" w:eastAsia="MS Mincho" w:cs="Times New Roman"/>
      <w:sz w:val="28"/>
      <w:szCs w:val="28"/>
      <w:lang w:val="en-US" w:eastAsia="en-US" w:bidi="ar-SA"/>
    </w:rPr>
  </w:style>
  <w:style w:type="paragraph" w:customStyle="1" w:styleId="21">
    <w:name w:val="paper title"/>
    <w:qFormat/>
    <w:uiPriority w:val="0"/>
    <w:pPr>
      <w:spacing w:after="120"/>
      <w:jc w:val="center"/>
    </w:pPr>
    <w:rPr>
      <w:rFonts w:ascii="Times New Roman" w:hAnsi="Times New Roman" w:eastAsia="MS Mincho" w:cs="Times New Roman"/>
      <w:sz w:val="48"/>
      <w:szCs w:val="48"/>
      <w:lang w:val="en-US" w:eastAsia="en-US" w:bidi="ar-SA"/>
    </w:rPr>
  </w:style>
  <w:style w:type="paragraph" w:customStyle="1" w:styleId="22">
    <w:name w:val="references"/>
    <w:qFormat/>
    <w:uiPriority w:val="0"/>
    <w:pPr>
      <w:numPr>
        <w:ilvl w:val="0"/>
        <w:numId w:val="5"/>
      </w:numPr>
      <w:spacing w:after="50" w:line="180" w:lineRule="exact"/>
      <w:jc w:val="both"/>
    </w:pPr>
    <w:rPr>
      <w:rFonts w:ascii="Times New Roman" w:hAnsi="Times New Roman" w:eastAsia="MS Mincho" w:cs="Times New Roman"/>
      <w:sz w:val="16"/>
      <w:szCs w:val="16"/>
      <w:lang w:val="en-US" w:eastAsia="en-US" w:bidi="ar-SA"/>
    </w:rPr>
  </w:style>
  <w:style w:type="paragraph" w:customStyle="1" w:styleId="23">
    <w:name w:val="sponsors"/>
    <w:qFormat/>
    <w:uiPriority w:val="0"/>
    <w:pPr>
      <w:framePr w:wrap="auto" w:vAnchor="margin" w:hAnchor="text" w:x="615" w:y="2239"/>
      <w:pBdr>
        <w:top w:val="single" w:color="auto" w:sz="4" w:space="2"/>
      </w:pBdr>
      <w:ind w:firstLine="288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4">
    <w:name w:val="table col head"/>
    <w:basedOn w:val="1"/>
    <w:qFormat/>
    <w:uiPriority w:val="0"/>
    <w:rPr>
      <w:b/>
      <w:bCs/>
      <w:sz w:val="16"/>
      <w:szCs w:val="16"/>
    </w:rPr>
  </w:style>
  <w:style w:type="paragraph" w:customStyle="1" w:styleId="25">
    <w:name w:val="table col subhead"/>
    <w:basedOn w:val="24"/>
    <w:qFormat/>
    <w:uiPriority w:val="0"/>
    <w:rPr>
      <w:i/>
      <w:iCs/>
      <w:sz w:val="15"/>
      <w:szCs w:val="15"/>
    </w:rPr>
  </w:style>
  <w:style w:type="paragraph" w:customStyle="1" w:styleId="26">
    <w:name w:val="table copy"/>
    <w:qFormat/>
    <w:uiPriority w:val="0"/>
    <w:pPr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7">
    <w:name w:val="table footnote"/>
    <w:qFormat/>
    <w:uiPriority w:val="0"/>
    <w:pPr>
      <w:numPr>
        <w:ilvl w:val="0"/>
        <w:numId w:val="6"/>
      </w:numPr>
      <w:spacing w:before="60" w:after="30"/>
      <w:ind w:left="58" w:hanging="29"/>
      <w:jc w:val="right"/>
    </w:pPr>
    <w:rPr>
      <w:rFonts w:ascii="Times New Roman" w:hAnsi="Times New Roman" w:eastAsia="宋体" w:cs="Times New Roman"/>
      <w:sz w:val="12"/>
      <w:szCs w:val="12"/>
      <w:lang w:val="en-US" w:eastAsia="en-US" w:bidi="ar-SA"/>
    </w:rPr>
  </w:style>
  <w:style w:type="paragraph" w:customStyle="1" w:styleId="28">
    <w:name w:val="table head"/>
    <w:qFormat/>
    <w:uiPriority w:val="0"/>
    <w:pPr>
      <w:numPr>
        <w:ilvl w:val="0"/>
        <w:numId w:val="7"/>
      </w:numPr>
      <w:spacing w:before="240" w:after="120" w:line="216" w:lineRule="auto"/>
      <w:jc w:val="center"/>
    </w:pPr>
    <w:rPr>
      <w:rFonts w:ascii="Times New Roman" w:hAnsi="Times New Roman" w:eastAsia="宋体" w:cs="Times New Roman"/>
      <w:smallCaps/>
      <w:sz w:val="16"/>
      <w:szCs w:val="16"/>
      <w:lang w:val="en-US" w:eastAsia="en-US" w:bidi="ar-SA"/>
    </w:rPr>
  </w:style>
  <w:style w:type="paragraph" w:customStyle="1" w:styleId="29">
    <w:name w:val="Keywords"/>
    <w:basedOn w:val="12"/>
    <w:qFormat/>
    <w:uiPriority w:val="0"/>
    <w:pPr>
      <w:spacing w:after="120"/>
      <w:ind w:firstLine="274"/>
    </w:pPr>
    <w:rPr>
      <w:i/>
    </w:rPr>
  </w:style>
  <w:style w:type="character" w:customStyle="1" w:styleId="30">
    <w:name w:val="Header Char"/>
    <w:basedOn w:val="11"/>
    <w:link w:val="9"/>
    <w:qFormat/>
    <w:uiPriority w:val="0"/>
  </w:style>
  <w:style w:type="character" w:customStyle="1" w:styleId="31">
    <w:name w:val="Footer Char"/>
    <w:basedOn w:val="11"/>
    <w:link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IEEE</Company>
  <Pages>9</Pages>
  <Words>3497</Words>
  <Characters>4106</Characters>
  <Lines>102</Lines>
  <Paragraphs>28</Paragraphs>
  <TotalTime>46</TotalTime>
  <ScaleCrop>false</ScaleCrop>
  <LinksUpToDate>false</LinksUpToDate>
  <CharactersWithSpaces>4247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2026-10-10T02:20:00Z</dcterms:created>
  <dc:creator>赵苏亚</dc:creator>
  <cp:lastModifiedBy>赵苏亚</cp:lastModifiedBy>
  <dcterms:modified xsi:type="dcterms:W3CDTF">2026-10-10T15:41:44Z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28DC70EDD291421EB03B6BB091A2A8BF_13</vt:lpwstr>
  </property>
  <property fmtid="{D5CDD505-2E9C-101B-9397-08002B2CF9AE}" pid="4" name="KSOTemplateDocerSaveRecord">
    <vt:lpwstr>eyJoZGlkIjoiZDg5MjkwNTdmMmUzNjc3Yzk0NTc0YzM2NjI3NjczNjAiLCJ1c2VySWQiOiIxNjQ5ODQ1NTc3In0=</vt:lpwstr>
  </property>
</Properties>
</file>