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w:t>
      </w:r>
      <w:r>
        <w:rPr>
          <w:rFonts w:hint="eastAsia"/>
          <w:sz w:val="20"/>
          <w:szCs w:val="20"/>
          <w:highlight w:val="yellow"/>
          <w:lang w:val="en-US" w:eastAsia="zh-CN"/>
        </w:rPr>
        <w:t>·</w:t>
      </w:r>
      <w:r>
        <w:rPr>
          <w:rFonts w:hint="eastAsia"/>
          <w:color w:val="FF0000"/>
          <w:sz w:val="20"/>
          <w:szCs w:val="20"/>
          <w:highlight w:val="yellow"/>
          <w:lang w:val="en-US" w:eastAsia="zh-CN"/>
        </w:rPr>
        <w:t>各子系统工作空间</w:t>
      </w:r>
      <w:r>
        <w:rPr>
          <w:rFonts w:hint="eastAsia"/>
          <w:sz w:val="20"/>
          <w:szCs w:val="20"/>
        </w:rPr>
        <w:t>，为结构参数选择及主从位姿映射提供依据，并通过机械臂位姿调整、遥操作抓取和连续上台阶演示，展示系统的实际执行效果。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033395"/>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rcRect t="2966"/>
                    <a:stretch>
                      <a:fillRect/>
                    </a:stretch>
                  </pic:blipFill>
                  <pic:spPr>
                    <a:xfrm>
                      <a:off x="0" y="0"/>
                      <a:ext cx="3060000" cy="303339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rFonts w:hint="eastAsia"/>
          <w:sz w:val="20"/>
          <w:szCs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碳纤维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bookmarkStart w:id="17" w:name="_GoBack"/>
      <w:bookmarkEnd w:id="17"/>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得到，记为</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sz w:val="20"/>
          <w:szCs w:val="20"/>
          <w:lang w:eastAsia="zh-CN"/>
        </w:rPr>
      </w:pPr>
      <w:r>
        <w:rPr>
          <w:rFonts w:hint="eastAsia"/>
          <w:sz w:val="20"/>
          <w:szCs w:val="20"/>
        </w:rPr>
        <w:t>对候选解进行位姿回代检查，</w:t>
      </w:r>
      <w:r>
        <w:rPr>
          <w:rFonts w:hint="eastAsia"/>
          <w:sz w:val="20"/>
          <w:szCs w:val="20"/>
          <w:lang w:val="en-US" w:eastAsia="zh-CN"/>
        </w:rPr>
        <w:t>就可以</w:t>
      </w:r>
      <w:r>
        <w:rPr>
          <w:rFonts w:hint="eastAsia"/>
          <w:sz w:val="20"/>
          <w:szCs w:val="20"/>
        </w:rPr>
        <w:t>选择</w:t>
      </w:r>
      <w:r>
        <w:rPr>
          <w:rFonts w:hint="eastAsia"/>
          <w:sz w:val="20"/>
          <w:szCs w:val="20"/>
          <w:lang w:val="en-US" w:eastAsia="zh-CN"/>
        </w:rPr>
        <w:t>得到</w:t>
      </w:r>
      <w:r>
        <w:rPr>
          <w:rFonts w:hint="eastAsia"/>
          <w:sz w:val="20"/>
          <w:szCs w:val="20"/>
        </w:rPr>
        <w:t>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几何计算与工作空间分析，分别讨论底盘轮心、机械臂夹爪中心及遥操作控制器动平台中心的位置覆盖范围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3">
      <w:pPr>
        <w:pStyle w:val="3"/>
        <w:numPr>
          <w:ilvl w:val="1"/>
          <w:numId w:val="0"/>
        </w:numPr>
        <w:snapToGrid w:val="0"/>
      </w:pPr>
      <w:r>
        <w:rPr>
          <w:rFonts w:ascii="Times New Roman" w:hAnsi="Times New Roman" w:eastAsia="宋体"/>
          <w:sz w:val="20"/>
          <w:szCs w:val="20"/>
        </w:rPr>
        <w:t>A. 底盘轮心工作空间</w:t>
      </w:r>
    </w:p>
    <w:p w14:paraId="7A120004">
      <w:pPr>
        <w:pStyle w:val="7"/>
        <w:numPr>
          <w:ilvl w:val="0"/>
          <w:numId w:val="0"/>
        </w:numPr>
        <w:snapToGrid w:val="0"/>
        <w:rPr>
          <w:sz w:val="20"/>
        </w:rPr>
      </w:pPr>
      <w:r>
        <w:rPr>
          <w:rFonts w:ascii="Times New Roman" w:hAnsi="Times New Roman" w:eastAsia="宋体"/>
          <w:sz w:val="20"/>
          <w:szCs w:val="20"/>
        </w:rPr>
        <w:t>采用 TABLE I 中大腿和小腿的关节中心距 170 mm 和 220 mm，前后髋关节中心距为 360 mm。对选定构型进行几何计算，轮心至髋部的距离为 132.52–300.48 mm。进一步考虑横梁、轮胎及辅助连杆等实体之间的干涉，得到 Fig. 11 所示的前后轮心投影区域。该图以同侧前髋中心为绘图原点，横轴沿机身向后，纵轴向上；因此横轴与机体系的前向轴方向相反。</w:t>
      </w:r>
    </w:p>
    <w:p w14:paraId="7A120005">
      <w:pPr>
        <w:pStyle w:val="7"/>
        <w:numPr>
          <w:ilvl w:val="0"/>
          <w:numId w:val="0"/>
        </w:numPr>
        <w:snapToGrid w:val="0"/>
        <w:rPr>
          <w:rFonts w:hint="eastAsia"/>
          <w:sz w:val="20"/>
          <w:szCs w:val="20"/>
        </w:rPr>
      </w:pPr>
      <w:r>
        <w:rPr>
          <w:rFonts w:ascii="Times New Roman" w:hAnsi="Times New Roman" w:eastAsia="宋体"/>
          <w:sz w:val="20"/>
          <w:szCs w:val="20"/>
        </w:rPr>
        <w:t>采样结果中，前轮心相对髋部的竖直位置为 −</w:t>
      </w:r>
      <w:r>
        <w:rPr>
          <w:rFonts w:hint="eastAsia"/>
          <w:sz w:val="20"/>
          <w:szCs w:val="20"/>
        </w:rPr>
        <w:t>300.48 至 166.46 mm，后轮心为 −300.48 至 −17.50 mm。两区域</w:t>
      </w:r>
      <w:r>
        <w:rPr>
          <w:rFonts w:hint="eastAsia"/>
          <w:sz w:val="20"/>
          <w:szCs w:val="20"/>
          <w:lang w:val="en-US" w:eastAsia="zh-CN"/>
        </w:rPr>
        <w:t>是基于</w:t>
      </w:r>
      <w:r>
        <w:rPr>
          <w:rFonts w:hint="eastAsia"/>
          <w:sz w:val="20"/>
          <w:szCs w:val="20"/>
        </w:rPr>
        <w:t>分别允许另一条腿采取避让姿态</w:t>
      </w:r>
      <w:r>
        <w:rPr>
          <w:rFonts w:hint="eastAsia"/>
          <w:sz w:val="20"/>
          <w:szCs w:val="20"/>
          <w:lang w:val="en-US" w:eastAsia="zh-CN"/>
        </w:rPr>
        <w:t>前提下的单腿最大轮心活动空间分析</w:t>
      </w:r>
      <w:r>
        <w:rPr>
          <w:rFonts w:hint="eastAsia"/>
          <w:sz w:val="20"/>
          <w:szCs w:val="20"/>
        </w:rPr>
        <w:t>，不能将区域内任意两个位置直接组合为同时可达的前后轮目标。</w:t>
      </w:r>
      <w:r>
        <w:rPr>
          <w:rFonts w:hint="eastAsia"/>
          <w:sz w:val="20"/>
          <w:szCs w:val="20"/>
          <w:lang w:val="en-US" w:eastAsia="zh-CN"/>
        </w:rPr>
        <w:t>以上理论建模和分析</w:t>
      </w:r>
      <w:r>
        <w:rPr>
          <w:rFonts w:hint="eastAsia"/>
          <w:sz w:val="20"/>
          <w:szCs w:val="20"/>
        </w:rPr>
        <w:t>结果为支撑高度与轮心前后位置的选择提供</w:t>
      </w:r>
      <w:r>
        <w:rPr>
          <w:rFonts w:hint="eastAsia"/>
          <w:sz w:val="20"/>
          <w:szCs w:val="20"/>
          <w:lang w:val="en-US" w:eastAsia="zh-CN"/>
        </w:rPr>
        <w:t>了</w:t>
      </w:r>
      <w:r>
        <w:rPr>
          <w:rFonts w:hint="eastAsia"/>
          <w:sz w:val="20"/>
          <w:szCs w:val="20"/>
        </w:rPr>
        <w:t>几何参考，</w:t>
      </w:r>
      <w:r>
        <w:rPr>
          <w:rFonts w:hint="eastAsia"/>
          <w:sz w:val="20"/>
          <w:szCs w:val="20"/>
          <w:lang w:val="en-US" w:eastAsia="zh-CN"/>
        </w:rPr>
        <w:t>为进一步</w:t>
      </w:r>
      <w:r>
        <w:rPr>
          <w:rFonts w:hint="eastAsia"/>
          <w:sz w:val="20"/>
          <w:szCs w:val="20"/>
        </w:rPr>
        <w:t>整机运动规划</w:t>
      </w:r>
      <w:r>
        <w:rPr>
          <w:rFonts w:hint="eastAsia"/>
          <w:sz w:val="20"/>
          <w:szCs w:val="20"/>
          <w:lang w:val="en-US" w:eastAsia="zh-CN"/>
        </w:rPr>
        <w:t>准备了条件</w:t>
      </w:r>
      <w:r>
        <w:rPr>
          <w:rFonts w:hint="eastAsia"/>
          <w:sz w:val="20"/>
          <w:szCs w:val="20"/>
        </w:rPr>
        <w:t>。</w:t>
      </w:r>
    </w:p>
    <w:p w14:paraId="7A120006">
      <w:pPr>
        <w:keepNext/>
        <w:keepLines/>
        <w:numPr>
          <w:ilvl w:val="0"/>
          <w:numId w:val="0"/>
        </w:numPr>
        <w:snapToGrid w:val="0"/>
        <w:spacing w:before="60" w:after="60" w:line="240" w:lineRule="auto"/>
        <w:ind w:left="0" w:right="0" w:firstLine="0"/>
        <w:jc w:val="center"/>
      </w:pPr>
      <w:r>
        <w:drawing>
          <wp:inline distT="0" distB="0" distL="0" distR="0">
            <wp:extent cx="3059430" cy="1751965"/>
            <wp:effectExtent l="0" t="0" r="0" b="0"/>
            <wp:docPr id="35"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 11" descr="Geometric workspace illustration"/>
                    <pic:cNvPicPr>
                      <a:picLocks noChangeAspect="1"/>
                    </pic:cNvPicPr>
                  </pic:nvPicPr>
                  <pic:blipFill>
                    <a:blip r:embed="rId17"/>
                    <a:stretch>
                      <a:fillRect/>
                    </a:stretch>
                  </pic:blipFill>
                  <pic:spPr>
                    <a:xfrm>
                      <a:off x="0" y="0"/>
                      <a:ext cx="3060000" cy="1752529"/>
                    </a:xfrm>
                    <a:prstGeom prst="rect">
                      <a:avLst/>
                    </a:prstGeom>
                  </pic:spPr>
                </pic:pic>
              </a:graphicData>
            </a:graphic>
          </wp:inline>
        </w:drawing>
      </w:r>
    </w:p>
    <w:p w14:paraId="7A120007">
      <w:pPr>
        <w:pStyle w:val="18"/>
        <w:numPr>
          <w:ilvl w:val="0"/>
          <w:numId w:val="0"/>
        </w:numPr>
        <w:snapToGrid w:val="0"/>
      </w:pPr>
      <w:r>
        <w:rPr>
          <w:rFonts w:ascii="Times New Roman" w:hAnsi="Times New Roman" w:eastAsia="宋体"/>
          <w:sz w:val="18"/>
          <w:szCs w:val="18"/>
        </w:rPr>
        <w:t>Fig. 11. 前后腿轮心的二维工作空间示意。蓝色与橙色分别表示前轮和后轮的位置覆盖区域；绘图原点位于前髋中心，横轴向后、纵轴向上。</w:t>
      </w:r>
    </w:p>
    <w:p w14:paraId="7A120008">
      <w:pPr>
        <w:pStyle w:val="3"/>
        <w:numPr>
          <w:ilvl w:val="1"/>
          <w:numId w:val="0"/>
        </w:numPr>
        <w:snapToGrid w:val="0"/>
      </w:pPr>
      <w:r>
        <w:rPr>
          <w:rFonts w:ascii="Times New Roman" w:hAnsi="Times New Roman" w:eastAsia="宋体"/>
          <w:sz w:val="20"/>
          <w:szCs w:val="20"/>
        </w:rPr>
        <w:t>B.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12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1">
      <w:pPr>
        <w:keepNext/>
        <w:keepLines/>
        <w:numPr>
          <w:ilvl w:val="0"/>
          <w:numId w:val="0"/>
        </w:numPr>
        <w:snapToGrid w:val="0"/>
        <w:spacing w:before="60" w:after="60" w:line="240" w:lineRule="auto"/>
        <w:ind w:left="0" w:right="0" w:firstLine="0"/>
        <w:jc w:val="center"/>
      </w:pPr>
      <w:r>
        <w:drawing>
          <wp:inline distT="0" distB="0" distL="0" distR="0">
            <wp:extent cx="2879725" cy="4325620"/>
            <wp:effectExtent l="0" t="0" r="0" b="0"/>
            <wp:docPr id="36"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2" descr="Geometric workspace illustration"/>
                    <pic:cNvPicPr>
                      <a:picLocks noChangeAspect="1"/>
                    </pic:cNvPicPr>
                  </pic:nvPicPr>
                  <pic:blipFill>
                    <a:blip r:embed="rId18"/>
                    <a:srcRect l="33333"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Fig. 12. 夹爪中心的位置工作空间。上图为三维采样点云，下图为径向–高度投影。</w:t>
      </w:r>
    </w:p>
    <w:p w14:paraId="7A120013">
      <w:pPr>
        <w:pStyle w:val="3"/>
        <w:numPr>
          <w:ilvl w:val="1"/>
          <w:numId w:val="0"/>
        </w:numPr>
        <w:snapToGrid w:val="0"/>
      </w:pPr>
      <w:r>
        <w:rPr>
          <w:rFonts w:ascii="Times New Roman" w:hAnsi="Times New Roman" w:eastAsia="宋体"/>
          <w:sz w:val="20"/>
          <w:szCs w:val="20"/>
        </w:rPr>
        <w:t>C.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13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01645" cy="2582545"/>
            <wp:effectExtent l="0" t="0" r="0" b="0"/>
            <wp:docPr id="37" name="Fig. 13"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3" descr="Geometric workspace illustration"/>
                    <pic:cNvPicPr>
                      <a:picLocks noChangeAspect="1"/>
                    </pic:cNvPicPr>
                  </pic:nvPicPr>
                  <pic:blipFill>
                    <a:blip r:embed="rId19"/>
                    <a:srcRect l="493" t="3675" r="34753" b="6814"/>
                    <a:stretch>
                      <a:fillRect/>
                    </a:stretch>
                  </pic:blipFill>
                  <pic:spPr>
                    <a:xfrm>
                      <a:off x="0" y="0"/>
                      <a:ext cx="3001645" cy="2582545"/>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13. 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D.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14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15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16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4"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4" descr="机械臂运动空间的实物展示。（a）向前伸展。（b）向上抬升。（c）向下探取。三幅图分别给出前向、上方及近地面区域的典型可达构型。"/>
                    <pic:cNvPicPr>
                      <a:picLocks noChangeAspect="1"/>
                    </pic:cNvPicPr>
                  </pic:nvPicPr>
                  <pic:blipFill>
                    <a:blip r:embed="rId20"/>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14.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1"/>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15.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6"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6"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2"/>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16.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本文形成了底盘移动与姿态控制、机械臂逆运动学及主从位姿映射相结合的控制流程。几何工作空间分析进一步给出了轮心、夹爪中心与主手动平台的位置覆盖范围，为结构参数选取及位姿映射提供了依据。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12</Pages>
  <Words>4947</Words>
  <Characters>5658</Characters>
  <Lines>102</Lines>
  <Paragraphs>28</Paragraphs>
  <TotalTime>5</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2026-10-10T02:20:00Z</dcterms:created>
  <dc:creator>赵苏亚</dc:creator>
  <cp:lastModifiedBy>赵苏亚</cp:lastModifiedBy>
  <dcterms:modified xsi:type="dcterms:W3CDTF">2026-10-13T21:56:13Z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