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27" w:name="_GoBack"/>
      <w:bookmarkEnd w:id="27"/>
      <w:bookmarkStart w:id="13" w:name="姿态控制器与离地检测"/>
      <w:r>
        <w:t xml:space="preserve">5) </w:t>
      </w:r>
      <w:r>
        <w:rPr>
          <w:rFonts w:hint="eastAsia"/>
        </w:rPr>
        <w:t>姿态控制器与离地检测</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及角速度作为反馈。报告采用角度—角速度串级比例控制并累加腿高修正</w:t>
      </w:r>
      <w:r>
        <w:rPr>
          <w:sz w:val="20"/>
          <w:szCs w:val="20"/>
        </w:rPr>
        <w:t xml:space="preserve"> </w:t>
      </w:r>
      <w:r>
        <w:rPr>
          <w:rFonts w:hint="eastAsia"/>
          <w:sz w:val="20"/>
          <w:szCs w:val="20"/>
        </w:rPr>
        <w:t>[4]。对任一姿态轴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oMath>
      <w:r>
        <w:rPr>
          <w:sz w:val="20"/>
          <w:szCs w:val="20"/>
        </w:rPr>
        <w:t xml:space="preserve"> </w:t>
      </w:r>
      <w:r>
        <w:rPr>
          <w:rFonts w:hint="eastAsia"/>
          <w:sz w:val="20"/>
          <w:szCs w:val="20"/>
        </w:rPr>
        <w:t>是具有长度单位的支撑高度修正量，离散增益</w:t>
      </w:r>
      <w:r>
        <w:rPr>
          <w:sz w:val="20"/>
          <w:szCs w:val="20"/>
        </w:rPr>
        <w:t xml:space="preserve"> </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sz w:val="20"/>
          <w:szCs w:val="20"/>
        </w:rPr>
        <w:t xml:space="preserve"> </w:t>
      </w:r>
      <w:r>
        <w:rPr>
          <w:rFonts w:hint="eastAsia"/>
          <w:sz w:val="20"/>
          <w:szCs w:val="20"/>
        </w:rPr>
        <w:t>包含采样周期的影响。原稿预留的增量式</w:t>
      </w:r>
      <w:r>
        <w:rPr>
          <w:sz w:val="20"/>
          <w:szCs w:val="20"/>
        </w:rPr>
        <w:t xml:space="preserve"> PID </w:t>
      </w:r>
      <w:r>
        <w:rPr>
          <w:rFonts w:hint="eastAsia"/>
          <w:sz w:val="20"/>
          <w:szCs w:val="20"/>
        </w:rPr>
        <w:t>可作为这一增量调节接口的通用扩展；若采用离散</w:t>
      </w:r>
      <w:r>
        <w:rPr>
          <w:sz w:val="20"/>
          <w:szCs w:val="20"/>
        </w:rPr>
        <w:t xml:space="preserve"> </w:t>
      </w:r>
      <w:r>
        <w:rPr>
          <w:rFonts w:hint="eastAsia"/>
          <w:sz w:val="20"/>
          <w:szCs w:val="20"/>
        </w:rPr>
        <w:t>PID，其表达式为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4C650D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75BA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I,</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χ</m:t>
                            </m:r>
                          </m:sub>
                        </m:sSub>
                      </m:num>
                      <m:den>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e>
                </m:eqArr>
              </m:oMath>
            </m:oMathPara>
          </w:p>
        </w:tc>
        <w:tc>
          <w:tcPr>
            <w:tcW w:w="390" w:type="dxa"/>
            <w:vAlign w:val="center"/>
          </w:tcPr>
          <w:p w14:paraId="75645BCB">
            <w:pPr>
              <w:numPr>
                <w:ilvl w:val="0"/>
                <w:numId w:val="0"/>
              </w:numPr>
              <w:snapToGrid w:val="0"/>
              <w:jc w:val="right"/>
              <w:rPr>
                <w:sz w:val="16"/>
              </w:rPr>
            </w:pPr>
            <w:r>
              <w:rPr>
                <w:sz w:val="16"/>
                <w:szCs w:val="16"/>
              </w:rPr>
              <w:t>(19)</w:t>
            </w:r>
          </w:p>
        </w:tc>
      </w:tr>
    </w:tbl>
    <w:p w14:paraId="12FB6A38">
      <w:pPr>
        <w:pStyle w:val="7"/>
        <w:numPr>
          <w:ilvl w:val="0"/>
          <w:numId w:val="0"/>
        </w:numPr>
        <w:snapToGrid w:val="0"/>
        <w:rPr>
          <w:sz w:val="20"/>
        </w:rPr>
      </w:pPr>
      <w:r>
        <w:rPr>
          <w:rFonts w:hint="eastAsia"/>
          <w:sz w:val="20"/>
          <w:szCs w:val="20"/>
        </w:rPr>
        <w:t>这里</w:t>
      </w:r>
      <w:r>
        <w:rPr>
          <w:sz w:val="20"/>
          <w:szCs w:val="20"/>
        </w:rPr>
        <w:t xml:space="preserve"> </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sz w:val="20"/>
          <w:szCs w:val="20"/>
        </w:rPr>
        <w:t xml:space="preserve"> </w:t>
      </w:r>
      <w:r>
        <w:rPr>
          <w:rFonts w:hint="eastAsia"/>
          <w:sz w:val="20"/>
          <w:szCs w:val="20"/>
        </w:rPr>
        <w:t>为采样周期；各增益包含从角度误差到高度修正的量纲。该通用式不意味着报告已经验证了非零积分、微分增益的完整</w:t>
      </w:r>
      <w:r>
        <w:rPr>
          <w:sz w:val="20"/>
          <w:szCs w:val="20"/>
        </w:rPr>
        <w:t xml:space="preserve"> PID </w:t>
      </w:r>
      <w:r>
        <w:rPr>
          <w:rFonts w:hint="eastAsia"/>
          <w:sz w:val="20"/>
          <w:szCs w:val="20"/>
        </w:rPr>
        <w:t>实现。</w:t>
      </w:r>
    </w:p>
    <w:p w14:paraId="194B4AE2">
      <w:pPr>
        <w:pStyle w:val="7"/>
        <w:numPr>
          <w:ilvl w:val="0"/>
          <w:numId w:val="0"/>
        </w:numPr>
        <w:snapToGrid w:val="0"/>
        <w:rPr>
          <w:sz w:val="20"/>
        </w:rPr>
      </w:pPr>
      <w:r>
        <w:rPr>
          <w:rFonts w:hint="eastAsia"/>
          <w:sz w:val="20"/>
          <w:szCs w:val="20"/>
        </w:rPr>
        <w:t>设名义轮心平面坐标为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rFonts w:hint="eastAsia"/>
          <w:sz w:val="20"/>
          <w:szCs w:val="20"/>
        </w:rPr>
        <w:t>，取四腿近似对称分布，前后、左右半间距分别为</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。在小姿态角和触点高度暂时固定的条件下，可将修正分配为</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y</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x</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(20)</w:t>
            </w:r>
          </w:p>
        </w:tc>
      </w:tr>
    </w:tbl>
    <w:p w14:paraId="39AC3763">
      <w:pPr>
        <w:pStyle w:val="7"/>
        <w:numPr>
          <w:ilvl w:val="0"/>
          <w:numId w:val="0"/>
        </w:numPr>
        <w:snapToGrid w:val="0"/>
        <w:rPr>
          <w:sz w:val="20"/>
        </w:rPr>
      </w:pPr>
      <w:r>
        <w:rPr>
          <w:rFonts w:hint="eastAsia"/>
          <w:sz w:val="20"/>
          <w:szCs w:val="20"/>
        </w:rPr>
        <w:t>此处</w:t>
      </w:r>
      <w:r>
        <w:rPr>
          <w:sz w:val="20"/>
          <w:szCs w:val="20"/>
        </w:rPr>
        <w:t xml:space="preserve"> </w:t>
      </w:r>
      <m:oMath>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sz w:val="20"/>
          <w:szCs w:val="20"/>
        </w:rPr>
        <w:t xml:space="preserve"> </w:t>
      </w:r>
      <w:r>
        <w:rPr>
          <w:rFonts w:hint="eastAsia"/>
          <w:sz w:val="20"/>
          <w:szCs w:val="20"/>
        </w:rPr>
        <w:t>为向下的支撑高度，腿基系相应目标为</w:t>
      </w:r>
      <w:r>
        <w:rPr>
          <w:sz w:val="20"/>
          <w:szCs w:val="20"/>
        </w:rPr>
        <w:t xml:space="preserve"> </w:t>
      </w:r>
      <m:oMath>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rFonts w:hint="eastAsia"/>
          <w:sz w:val="20"/>
          <w:szCs w:val="20"/>
        </w:rPr>
        <w:t>。符号关系来自机身滚转与俯仰引起的髋部高度变化；实际坐标安装方向应据此标定。逆运动学随后将轮心目标转换为关节目标。高度、关节角及输出增量均需限幅，饱和时停止向不可达方向累加。</w:t>
      </w:r>
    </w:p>
    <w:p w14:paraId="5C694F70">
      <w:pPr>
        <w:pStyle w:val="7"/>
        <w:numPr>
          <w:ilvl w:val="0"/>
          <w:numId w:val="0"/>
        </w:numPr>
        <w:snapToGrid w:val="0"/>
        <w:rPr>
          <w:sz w:val="20"/>
        </w:rPr>
      </w:pPr>
      <w:r>
        <w:rPr>
          <w:rFonts w:hint="eastAsia"/>
          <w:sz w:val="20"/>
          <w:szCs w:val="20"/>
        </w:rPr>
        <w:t>离地检测使用电机反馈力矩估算腿平面内的轮端载荷。令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q,fb</m:t>
            </m:r>
          </m:sub>
        </m:sSub>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tr</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r>
              <m:rPr>
                <m:sty m:val="p"/>
              </m:rPr>
              <w:rPr>
                <w:rFonts w:ascii="Cambria Math" w:hAnsi="Cambria Math" w:eastAsia="Cambria Math" w:cs="Cambria Math"/>
                <w:sz w:val="20"/>
                <w:szCs w:val="20"/>
              </w:rPr>
              <m:t>,fb</m:t>
            </m:r>
          </m:sub>
        </m:sSub>
      </m:oMath>
      <w:r>
        <w:rPr>
          <w:rFonts w:hint="eastAsia"/>
          <w:sz w:val="20"/>
          <w:szCs w:val="20"/>
        </w:rPr>
        <w:t>，由虚功关系可得</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AF1A4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BDE801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acc>
                      <m:accPr/>
                      <m:e>
                        <m:r>
                          <m:rPr>
                            <m:sty m:val="bi"/>
                          </m:rPr>
                          <w:rPr>
                            <w:rFonts w:ascii="Cambria Math" w:hAnsi="Cambria Math" w:eastAsia="Cambria Math" w:cs="Cambria Math"/>
                            <w:sz w:val="18"/>
                            <w:szCs w:val="18"/>
                          </w:rPr>
                          <m:t>f</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sup>
                </m:sSup>
                <m:d>
                  <m:dPr>
                    <m:sepChr m:val=""/>
                  </m:d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q,fb</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e>
                </m:d>
                <m:r>
                  <m:rPr>
                    <m:sty m:val="p"/>
                  </m:rPr>
                  <w:rPr>
                    <w:rFonts w:ascii="Cambria Math" w:hAnsi="Cambria Math" w:eastAsia="Cambria Math" w:cs="Cambria Math"/>
                    <w:sz w:val="18"/>
                    <w:szCs w:val="18"/>
                  </w:rPr>
                  <m:t>.</m:t>
                </m:r>
              </m:oMath>
            </m:oMathPara>
          </w:p>
        </w:tc>
        <w:tc>
          <w:tcPr>
            <w:tcW w:w="390" w:type="dxa"/>
            <w:vAlign w:val="center"/>
          </w:tcPr>
          <w:p w14:paraId="1DDE80E5">
            <w:pPr>
              <w:numPr>
                <w:ilvl w:val="0"/>
                <w:numId w:val="0"/>
              </w:numPr>
              <w:snapToGrid w:val="0"/>
              <w:jc w:val="right"/>
              <w:rPr>
                <w:sz w:val="16"/>
              </w:rPr>
            </w:pPr>
            <w:r>
              <w:rPr>
                <w:sz w:val="16"/>
                <w:szCs w:val="16"/>
              </w:rPr>
              <w:t>(21)</w:t>
            </w:r>
          </w:p>
        </w:tc>
      </w:tr>
    </w:tbl>
    <w:p w14:paraId="18A9DEFB">
      <w:pPr>
        <w:pStyle w:val="7"/>
        <w:numPr>
          <w:ilvl w:val="0"/>
          <w:numId w:val="0"/>
        </w:numPr>
        <w:snapToGrid w:val="0"/>
        <w:rPr>
          <w:sz w:val="20"/>
        </w:rPr>
      </w:pPr>
      <w:r>
        <w:rPr>
          <w:rFonts w:hint="eastAsia"/>
          <w:sz w:val="20"/>
          <w:szCs w:val="20"/>
        </w:rPr>
        <w:t>该估计无法恢复垂直于腿平面的不可观测力分量。经坐标变换后的支撑方向分量可用于阈值检测，调试架场景还应补偿杆件重力。检测到脱离接触的腿不应继续分配支撑力，支撑集合改变后需重新构造力分配矩阵。阈值、滞回和接触切换的定量效果尚待补充。</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(22)</w:t>
            </w:r>
          </w:p>
        </w:tc>
      </w:tr>
    </w:tbl>
    <w:p w14:paraId="540695CD">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1428A8F6">
      <w:pPr>
        <w:pStyle w:val="18"/>
        <w:numPr>
          <w:ilvl w:val="0"/>
          <w:numId w:val="0"/>
        </w:numPr>
        <w:snapToGrid w:val="0"/>
      </w:pPr>
      <w:r>
        <w:rPr>
          <w:iCs/>
        </w:rPr>
        <w:t xml:space="preserve">Fig. 6. </w:t>
      </w:r>
      <w:r>
        <w:rPr>
          <w:rFonts w:hint="eastAsia"/>
          <w:iCs/>
        </w:rPr>
        <w:t>六轴机械臂逆解的关节坐标系与腕心几何（留白，待补图）。</w:t>
      </w:r>
    </w:p>
    <w:p w14:paraId="2743674C">
      <w:pPr>
        <w:pStyle w:val="7"/>
        <w:numPr>
          <w:ilvl w:val="0"/>
          <w:numId w:val="0"/>
        </w:numPr>
        <w:snapToGrid w:val="0"/>
        <w:rPr>
          <w:sz w:val="20"/>
        </w:rPr>
      </w:pP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(23)</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(24)</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(25)</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7 </w:t>
      </w:r>
      <w:r>
        <w:rPr>
          <w:rFonts w:hint="eastAsia"/>
          <w:sz w:val="20"/>
          <w:szCs w:val="20"/>
        </w:rPr>
        <w:t>预留几何模型和手柄结构，几何参数列于</w:t>
      </w:r>
      <w:r>
        <w:rPr>
          <w:sz w:val="20"/>
          <w:szCs w:val="20"/>
        </w:rPr>
        <w:t xml:space="preserve"> TABLE II。</w:t>
      </w:r>
    </w:p>
    <w:p w14:paraId="34E67E34">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6B1D5471">
      <w:pPr>
        <w:pStyle w:val="18"/>
        <w:numPr>
          <w:ilvl w:val="0"/>
          <w:numId w:val="0"/>
        </w:numPr>
        <w:snapToGrid w:val="0"/>
      </w:pPr>
      <w:r>
        <w:rPr>
          <w:iCs/>
        </w:rPr>
        <w:t xml:space="preserve">Fig. 7. Delta </w:t>
      </w:r>
      <w:r>
        <w:rPr>
          <w:rFonts w:hint="eastAsia"/>
          <w:iCs/>
        </w:rPr>
        <w:t>三支链几何、动平台及三编码器姿态手柄（留白，待补图）。</w:t>
      </w:r>
    </w:p>
    <w:p w14:paraId="416DC73D">
      <w:pPr>
        <w:pStyle w:val="7"/>
        <w:numPr>
          <w:ilvl w:val="0"/>
          <w:numId w:val="0"/>
        </w:numPr>
        <w:snapToGrid w:val="0"/>
        <w:rPr>
          <w:sz w:val="20"/>
        </w:rPr>
      </w:pPr>
      <w:r>
        <w:rPr>
          <w:rFonts w:hint="eastAsia"/>
          <w:sz w:val="20"/>
          <w:szCs w:val="20"/>
        </w:rPr>
        <w:t>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(26)</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(27)</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(28)</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(29)</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(30)</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(31)</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(32)</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(33)</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(34)</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(35)</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(36)</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(37)</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(38)</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(39)</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8.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9.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7D7BC468"/>
    <w:rsid w:val="7F7C0272"/>
    <w:rsid w:val="7FFB82DC"/>
    <w:rsid w:val="C7EFD9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8</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2026-10-06T18:20:00Z</dcterms:created>
  <dc:creator>赵苏亚</dc:creator>
  <cp:lastModifiedBy>赵苏亚</cp:lastModifiedBy>
  <dcterms:modified xsi:type="dcterms:W3CDTF">2026-10-06T20:08:56Z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