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544B0">
      <w:pPr>
        <w:pStyle w:val="22"/>
        <w:spacing w:before="100" w:beforeAutospacing="1" w:after="100" w:afterAutospacing="1"/>
      </w:pPr>
      <w:r>
        <w:t xml:space="preserve">Paper Title* (use style: </w:t>
      </w:r>
      <w:r>
        <w:rPr>
          <w:i/>
          <w:iCs/>
        </w:rPr>
        <w:t>paper title</w:t>
      </w:r>
      <w:r>
        <w:t>)</w:t>
      </w:r>
    </w:p>
    <w:p w14:paraId="517AC20D">
      <w:pPr>
        <w:pStyle w:val="15"/>
        <w:spacing w:before="100" w:beforeAutospacing="1" w:after="100" w:afterAutospacing="1"/>
        <w:rPr>
          <w:sz w:val="16"/>
          <w:szCs w:val="16"/>
        </w:rPr>
      </w:pPr>
      <w:r>
        <w:rPr>
          <w:sz w:val="16"/>
          <w:szCs w:val="16"/>
        </w:rPr>
        <w:t>*Note: Sub-titles are not captured in Xplore and should not be used</w:t>
      </w:r>
    </w:p>
    <w:p w14:paraId="6D735D00">
      <w:pPr>
        <w:pStyle w:val="15"/>
        <w:spacing w:before="100" w:beforeAutospacing="1" w:after="100" w:afterAutospacing="1" w:line="120" w:lineRule="auto"/>
        <w:rPr>
          <w:sz w:val="16"/>
          <w:szCs w:val="16"/>
        </w:rPr>
        <w:sectPr>
          <w:footerReference r:id="rId3" w:type="first"/>
          <w:pgSz w:w="12240" w:h="15840"/>
          <w:pgMar w:top="1080" w:right="893" w:bottom="1440" w:left="893" w:header="720" w:footer="720" w:gutter="0"/>
          <w:cols w:space="720" w:num="1"/>
          <w:titlePg/>
          <w:docGrid w:linePitch="360" w:charSpace="0"/>
        </w:sectPr>
      </w:pPr>
    </w:p>
    <w:p w14:paraId="7DC3BD49">
      <w:pPr>
        <w:pStyle w:val="15"/>
        <w:spacing w:before="100" w:beforeAutospacing="1"/>
        <w:rPr>
          <w:sz w:val="18"/>
          <w:szCs w:val="18"/>
        </w:rPr>
        <w:sectPr>
          <w:type w:val="continuous"/>
          <w:pgSz w:w="12240" w:h="15840"/>
          <w:pgMar w:top="1080" w:right="893" w:bottom="1440" w:left="893" w:header="720" w:footer="720" w:gutter="0"/>
          <w:cols w:space="216" w:num="4"/>
          <w:docGrid w:linePitch="360" w:charSpace="0"/>
        </w:sect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59419620"/>
    <w:p w14:paraId="44292629">
      <w:pPr>
        <w:sectPr>
          <w:type w:val="continuous"/>
          <w:pgSz w:w="12240" w:h="15840"/>
          <w:pgMar w:top="1080" w:right="893" w:bottom="1440" w:left="893" w:header="720" w:footer="720" w:gutter="0"/>
          <w:cols w:space="720" w:num="1"/>
          <w:docGrid w:linePitch="360" w:charSpace="0"/>
        </w:sectPr>
      </w:pPr>
    </w:p>
    <w:p w14:paraId="79A9D93E">
      <w:pPr>
        <w:pStyle w:val="15"/>
        <w:spacing w:before="100" w:beforeAutospacing="1"/>
        <w:rPr>
          <w:sz w:val="18"/>
          <w:szCs w:val="18"/>
        </w:rPr>
      </w:pPr>
    </w:p>
    <w:p w14:paraId="04002460">
      <w:pPr>
        <w:pStyle w:val="15"/>
        <w:spacing w:before="100" w:beforeAutospacing="1"/>
        <w:rPr>
          <w:sz w:val="18"/>
          <w:szCs w:val="18"/>
        </w:rPr>
      </w:pPr>
    </w:p>
    <w:p w14:paraId="14802C4D">
      <w:pPr>
        <w:pStyle w:val="15"/>
        <w:spacing w:before="100" w:beforeAutospacing="1"/>
        <w:rPr>
          <w:sz w:val="18"/>
          <w:szCs w:val="18"/>
        </w:rPr>
      </w:pPr>
    </w:p>
    <w:p w14:paraId="14304D02">
      <w:pPr>
        <w:pStyle w:val="15"/>
        <w:spacing w:before="100" w:beforeAutospacing="1"/>
        <w:contextualSpacing/>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1C0700B3">
      <w:pPr>
        <w:pStyle w:val="15"/>
        <w:spacing w:before="100" w:beforeAutospacing="1"/>
        <w:contextualSpacing/>
        <w:rPr>
          <w:sz w:val="18"/>
          <w:szCs w:val="18"/>
        </w:rPr>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53B284A1">
      <w:pPr>
        <w:pStyle w:val="15"/>
        <w:spacing w:before="100" w:beforeAutospacing="1"/>
        <w:contextualSpacing/>
        <w:rPr>
          <w:sz w:val="18"/>
          <w:szCs w:val="18"/>
        </w:rPr>
      </w:pPr>
    </w:p>
    <w:p w14:paraId="0296F7C6">
      <w:pPr>
        <w:pStyle w:val="15"/>
        <w:spacing w:before="100" w:beforeAutospacing="1"/>
        <w:contextualSpacing/>
        <w:rPr>
          <w:sz w:val="18"/>
          <w:szCs w:val="18"/>
        </w:rPr>
      </w:pPr>
    </w:p>
    <w:p w14:paraId="74AC0DE4">
      <w:pPr>
        <w:pStyle w:val="15"/>
        <w:spacing w:before="100" w:beforeAutospacing="1"/>
        <w:contextualSpacing/>
        <w:rPr>
          <w:sz w:val="18"/>
          <w:szCs w:val="18"/>
        </w:rPr>
      </w:pPr>
    </w:p>
    <w:p w14:paraId="079DCF0E">
      <w:pPr>
        <w:pStyle w:val="15"/>
        <w:spacing w:before="100" w:beforeAutospacing="1"/>
        <w:contextualSpacing/>
        <w:rPr>
          <w:sz w:val="18"/>
          <w:szCs w:val="18"/>
        </w:rPr>
      </w:pPr>
    </w:p>
    <w:p w14:paraId="4C1D13CB">
      <w:pPr>
        <w:pStyle w:val="15"/>
        <w:spacing w:before="100" w:beforeAutospacing="1"/>
        <w:contextualSpacing/>
        <w:rPr>
          <w:sz w:val="18"/>
          <w:szCs w:val="18"/>
        </w:rPr>
      </w:pPr>
    </w:p>
    <w:p w14:paraId="128D2612">
      <w:pPr>
        <w:pStyle w:val="15"/>
        <w:spacing w:before="100" w:beforeAutospacing="1"/>
        <w:rPr>
          <w:sz w:val="16"/>
          <w:szCs w:val="16"/>
        </w:rPr>
        <w:sectPr>
          <w:type w:val="continuous"/>
          <w:pgSz w:w="12240" w:h="15840"/>
          <w:pgMar w:top="1080" w:right="893" w:bottom="1440" w:left="893" w:header="720" w:footer="720" w:gutter="0"/>
          <w:cols w:space="216" w:num="4"/>
          <w:docGrid w:linePitch="360" w:charSpace="0"/>
        </w:sectPr>
      </w:pPr>
    </w:p>
    <w:p w14:paraId="4BFA336A">
      <w:pPr>
        <w:pStyle w:val="15"/>
        <w:spacing w:before="100" w:beforeAutospacing="1"/>
        <w:jc w:val="both"/>
        <w:rPr>
          <w:sz w:val="16"/>
          <w:szCs w:val="16"/>
        </w:rPr>
      </w:pPr>
    </w:p>
    <w:p w14:paraId="58935029">
      <w:pPr>
        <w:pStyle w:val="15"/>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267708E4">
      <w:pPr>
        <w:pStyle w:val="13"/>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 xml:space="preserve">) </w:t>
      </w:r>
    </w:p>
    <w:p w14:paraId="3F9CDE0E">
      <w:pPr>
        <w:pStyle w:val="30"/>
      </w:pPr>
      <w:r>
        <w:t>Keywords—component, formatting, style, styling, insert (</w:t>
      </w:r>
      <w:r>
        <w:rPr>
          <w:b w:val="0"/>
        </w:rPr>
        <w:t>key words</w:t>
      </w:r>
      <w:r>
        <w:t>)</w:t>
      </w:r>
    </w:p>
    <w:p w14:paraId="0971B8DF">
      <w:pPr>
        <w:pStyle w:val="2"/>
        <w:keepNext/>
        <w:numPr>
          <w:ilvl w:val="0"/>
          <w:numId w:val="1"/>
        </w:numPr>
      </w:pPr>
      <w:r>
        <w:t>Introduction(Heading1)</w:t>
      </w:r>
    </w:p>
    <w:p w14:paraId="6ACDEEC4">
      <w:pPr>
        <w:pStyle w:val="7"/>
      </w:pPr>
      <w:r>
        <w:rPr>
          <w:lang w:eastAsia="zh-CN"/>
        </w:rPr>
        <w:t>随着机器人应用向应急救援、危险环境巡检和远程维护等场景拓展，移动机器人不仅需要在复杂地形中完成移动与环境感知，还需要具备物体抓取、搬运及设备操作等能力。这类任务要求机器人同时具备地形适应能力、灵活的末端操作能力以及有效的人机交互方式。CENTAURO等系统将轮足移动机构、机械臂与遥操作接口相结合，展示了移动操作机器人在人员难以直接进入的环境中执行复杂任务的应用潜力。</w:t>
      </w:r>
      <w:r>
        <w:fldChar w:fldCharType="begin"/>
      </w:r>
      <w:r>
        <w:instrText xml:space="preserve"> HYPERLINK "https://doi.org/10.1002/rob.21895" </w:instrText>
      </w:r>
      <w:r>
        <w:fldChar w:fldCharType="separate"/>
      </w:r>
      <w:r>
        <w:rPr>
          <w:lang w:eastAsia="zh-CN"/>
        </w:rPr>
        <w:t>[1]</w:t>
      </w:r>
      <w:r>
        <w:rPr>
          <w:lang w:eastAsia="zh-CN"/>
        </w:rPr>
        <w:fldChar w:fldCharType="end"/>
      </w:r>
      <w:r>
        <w:rPr>
          <w:lang w:eastAsia="zh-CN"/>
        </w:rPr>
        <w:t>因此，面向非结构化环境，研究兼顾移动能力与操作能力的遥操机器人具有实际意义。</w:t>
      </w:r>
    </w:p>
    <w:p w14:paraId="794DD866">
      <w:pPr>
        <w:pStyle w:val="7"/>
      </w:pPr>
      <w:r>
        <w:rPr>
          <w:lang w:eastAsia="zh-CN"/>
        </w:rPr>
        <w:t>为兼顾平整路面上的移动效率与复杂地形中的通过能力，研究人员提出了轮足复合移动方案。Bjelonic等将轮式运动约束引入四足机器人的全身运动规划与控制，使机器人能够协调车轮滚动和腿部运动，并在坡面及台阶等环境中完成运动任务。</w:t>
      </w:r>
      <w:r>
        <w:fldChar w:fldCharType="begin"/>
      </w:r>
      <w:r>
        <w:instrText xml:space="preserve"> HYPERLINK "https://doi.org/10.1109/LRA.2019.2899750" </w:instrText>
      </w:r>
      <w:r>
        <w:fldChar w:fldCharType="separate"/>
      </w:r>
      <w:r>
        <w:rPr>
          <w:lang w:eastAsia="zh-CN"/>
        </w:rPr>
        <w:t>[2]</w:t>
      </w:r>
      <w:r>
        <w:rPr>
          <w:lang w:eastAsia="zh-CN"/>
        </w:rPr>
        <w:fldChar w:fldCharType="end"/>
      </w:r>
      <w:r>
        <w:rPr>
          <w:lang w:eastAsia="zh-CN"/>
        </w:rPr>
        <w:t>此后，基于全身模型预测控制的研究进一步将轮端运动与机身运动纳入统一优化框架，为轮足机器人的混合运动及在线步态调整提供了方法。</w:t>
      </w:r>
      <w:r>
        <w:fldChar w:fldCharType="begin"/>
      </w:r>
      <w:r>
        <w:instrText xml:space="preserve"> HYPERLINK "https://doi.org/10.1109/IROS51168.2021.9636371" </w:instrText>
      </w:r>
      <w:r>
        <w:fldChar w:fldCharType="separate"/>
      </w:r>
      <w:r>
        <w:rPr>
          <w:lang w:eastAsia="zh-CN"/>
        </w:rPr>
        <w:t>[3]</w:t>
      </w:r>
      <w:r>
        <w:rPr>
          <w:lang w:eastAsia="zh-CN"/>
        </w:rPr>
        <w:fldChar w:fldCharType="end"/>
      </w:r>
      <w:r>
        <w:rPr>
          <w:lang w:eastAsia="zh-CN"/>
        </w:rPr>
        <w:t>这些研究为四轮足移动平台的设计提供了基础，但对于需要与环境直接交互的任务，还需要进一步考虑机械臂集成后带来的作业空间与整机协调问题。</w:t>
      </w:r>
    </w:p>
    <w:p w14:paraId="3A73C35B">
      <w:pPr>
        <w:pStyle w:val="7"/>
      </w:pPr>
      <w:r>
        <w:rPr>
          <w:lang w:eastAsia="zh-CN"/>
        </w:rPr>
        <w:t>在移动操作方面，ALMA将六自由度机械臂搭载于四足平台，通过运动规划与全身控制协调底盘和机械臂运动，并利用机身姿态调整扩展末端可达范围。</w:t>
      </w:r>
      <w:r>
        <w:fldChar w:fldCharType="begin"/>
      </w:r>
      <w:r>
        <w:instrText xml:space="preserve"> HYPERLINK "https://doi.org/10.1109/ICRA.2019.8794273" </w:instrText>
      </w:r>
      <w:r>
        <w:fldChar w:fldCharType="separate"/>
      </w:r>
      <w:r>
        <w:rPr>
          <w:lang w:eastAsia="zh-CN"/>
        </w:rPr>
        <w:t>[4]</w:t>
      </w:r>
      <w:r>
        <w:rPr>
          <w:lang w:eastAsia="zh-CN"/>
        </w:rPr>
        <w:fldChar w:fldCharType="end"/>
      </w:r>
      <w:r>
        <w:rPr>
          <w:lang w:eastAsia="zh-CN"/>
        </w:rPr>
        <w:t>Zhang等提出了具有主动对接机构的轮足双臂机器人，探索了操作功能与多构型移动能力的融合。</w:t>
      </w:r>
      <w:r>
        <w:fldChar w:fldCharType="begin"/>
      </w:r>
      <w:r>
        <w:instrText xml:space="preserve"> HYPERLINK "https://doi.org/10.1109/IROS60139.2025.11246212" </w:instrText>
      </w:r>
      <w:r>
        <w:fldChar w:fldCharType="separate"/>
      </w:r>
      <w:r>
        <w:rPr>
          <w:lang w:eastAsia="zh-CN"/>
        </w:rPr>
        <w:t>[5]</w:t>
      </w:r>
      <w:r>
        <w:rPr>
          <w:lang w:eastAsia="zh-CN"/>
        </w:rPr>
        <w:fldChar w:fldCharType="end"/>
      </w:r>
      <w:r>
        <w:rPr>
          <w:lang w:eastAsia="zh-CN"/>
        </w:rPr>
        <w:t>对于搭载六轴夹爪机械臂的四轮足机器人，底盘姿态、机械臂构型及抓取载荷相互关联：机械臂伸展和载荷变化会改变整机质量分布，底盘位置与姿态变化也会影响末端的可达范围，在此基础上的人机交互控制则值得进一步研究和探索。</w:t>
      </w:r>
    </w:p>
    <w:p w14:paraId="061A4F1B">
      <w:pPr>
        <w:pStyle w:val="7"/>
      </w:pPr>
      <w:r>
        <w:rPr>
          <w:lang w:eastAsia="zh-CN"/>
        </w:rPr>
        <w:t>遥操作为此类机器人提供了将操作者判断与机器人执行能力相结合的途径。CruzUlloa等将混合现实接口用于搭载六自由度机械臂的四足机器人，通过医疗物品抓取与搬运等实验，验证了该系统用于搜救辅助任务的可行性。[6]在主端输入装置方面，Uchiyama等利用改进型Delta机构与姿态机构构成紧凑型六自由度装置；Vulliez等则提出了基于耦合Delta机构的Delthaptic六自由度装置，为空间位姿输入机构的设计提供了参考。</w:t>
      </w:r>
      <w:r>
        <w:fldChar w:fldCharType="begin"/>
      </w:r>
      <w:r>
        <w:instrText xml:space="preserve"> HYPERLINK "https://doi.org/10.1007/978-3-540-48113-3_14" </w:instrText>
      </w:r>
      <w:r>
        <w:fldChar w:fldCharType="separate"/>
      </w:r>
      <w:r>
        <w:rPr>
          <w:lang w:eastAsia="zh-CN"/>
        </w:rPr>
        <w:t>[7]</w:t>
      </w:r>
      <w:r>
        <w:rPr>
          <w:lang w:eastAsia="zh-CN"/>
        </w:rPr>
        <w:fldChar w:fldCharType="end"/>
      </w:r>
      <w:r>
        <w:fldChar w:fldCharType="begin"/>
      </w:r>
      <w:r>
        <w:instrText xml:space="preserve"> HYPERLINK "https://doi.org/10.1016/j.mechmachtheory.2018.06.015" </w:instrText>
      </w:r>
      <w:r>
        <w:fldChar w:fldCharType="separate"/>
      </w:r>
      <w:r>
        <w:rPr>
          <w:lang w:eastAsia="zh-CN"/>
        </w:rPr>
        <w:t>[8]</w:t>
      </w:r>
      <w:r>
        <w:rPr>
          <w:lang w:eastAsia="zh-CN"/>
        </w:rPr>
        <w:fldChar w:fldCharType="end"/>
      </w:r>
      <w:r>
        <w:rPr>
          <w:lang w:eastAsia="zh-CN"/>
        </w:rPr>
        <w:t>以上三个方面的研究都已经有不少文献成果，但对于四轮足底盘、六轴机械臂及夹爪、Delta型六自由度主端的系统整合应用，能检索到的文献资料仍然较少，而本文所做的探索研究则将三个方向的技术结合起来，开展整机集成、主从位姿映射及遥操作系统设计。</w:t>
      </w:r>
    </w:p>
    <w:p w14:paraId="3A597881">
      <w:pPr>
        <w:pStyle w:val="7"/>
      </w:pPr>
      <w:r>
        <w:rPr>
          <w:lang w:eastAsia="zh-CN"/>
        </w:rPr>
        <w:t>基于上述需求，本文提出一种搭载六轴夹爪机械臂的四轮足遥操机器人方案，采用Delta异构六自由度控制器作为机械臂位姿输入装置。系统以四轮足底盘提供移动与支撑能力，以六轴机械臂及末端单自由度夹爪承担目标接近、姿态调整和抓取作业，以主从末端位姿映射连接操作者输入与机械臂运动。本文围绕整机结构集成、主从运动学关系及遥操作接口展开设计，旨在形成兼顾地形适应性与空间操作能力的移动作业平台，为非结构化环境中的远程抓取和辅助作业提供一种实现方案。</w:t>
      </w:r>
    </w:p>
    <w:p w14:paraId="21BA821E">
      <w:pPr>
        <w:pStyle w:val="2"/>
        <w:keepNext/>
        <w:numPr>
          <w:ilvl w:val="0"/>
          <w:numId w:val="1"/>
        </w:numPr>
      </w:pPr>
      <w:r>
        <w:rPr>
          <w:lang w:eastAsia="zh-CN"/>
        </w:rPr>
        <w:t>技术方案</w:t>
      </w:r>
    </w:p>
    <w:p w14:paraId="0B1E7FDC">
      <w:pPr>
        <w:pStyle w:val="7"/>
      </w:pPr>
      <w:r>
        <w:rPr>
          <w:lang w:eastAsia="zh-CN"/>
        </w:rPr>
        <w:t>该项目由四轮足机械臂机器人与基于delta机构的六自由度末端控制器两部分组成，机器人又可以分成六自由度带夹爪机械臂和四轮足底盘，接下来逐一进行叙述。</w:t>
      </w:r>
    </w:p>
    <w:p w14:paraId="002615A6">
      <w:pPr>
        <w:pStyle w:val="3"/>
        <w:keepNext/>
        <w:numPr>
          <w:ilvl w:val="1"/>
          <w:numId w:val="1"/>
        </w:numPr>
      </w:pPr>
      <w:r>
        <w:t>四轮足机械臂机器人</w:t>
      </w:r>
    </w:p>
    <w:p w14:paraId="2C1BCEEC">
      <w:pPr>
        <w:pStyle w:val="4"/>
        <w:numPr>
          <w:ilvl w:val="2"/>
          <w:numId w:val="1"/>
        </w:numPr>
      </w:pPr>
      <w:r>
        <w:rPr>
          <w:lang w:eastAsia="zh-CN"/>
        </w:rPr>
        <w:t>四轮足底盘</w:t>
      </w:r>
      <w:r>
        <w:t xml:space="preserve">  </w:t>
      </w:r>
      <w:r>
        <w:rPr>
          <w:i w:val="0"/>
          <w:iCs w:val="0"/>
          <w:lang w:eastAsia="zh-CN"/>
        </w:rPr>
        <w:t>该机器人底盘设计采用全膝式四轮足方案，由躯干和四条二自由度四连杆构型轮腿组成。在躯干设计上，躯干采用上下分层框架，上层骨架因需要同时承载云台机械臂质量和四条腿悬挂重量，此外也是运动中承受冲击的主要结构，采用壁厚1.5mm的碳方管搭建，相比壁厚2mm的铝方管而言，碳纤维材料的刚性远胜于铝，选择1.5mm碳方管在增加系统机械强度的同时还一定程度上减轻了机体重量；下层骨架则保留采用了壁厚2mm的铝方管，以兼顾结构布置与加工成本；框架内部为电源、电气元件、线束及机械臂基座回转关节传动组件预留了充足的安装空间；机体大量使用2~4mm碳纤维板拼接加固，使用螺栓螺母连接，躯干底部还设计安装了大量导向滚轮，用于辅助越过接触位置、减轻底部刮擦，一定程度上缓冲了底部碰撞冲击，减轻底盘触地、碰撞过程中对机器人的机械损伤。</w:t>
      </w:r>
    </w:p>
    <w:p w14:paraId="7F11CE31">
      <w:pPr>
        <w:pStyle w:val="7"/>
      </w:pPr>
      <w:r>
        <w:rPr>
          <w:lang w:eastAsia="zh-CN"/>
        </w:rPr>
        <w:t>在腿部设计上，前后腿采用完全一致的参数设计，左右腿呈镜像布置，每条腿具有两个用于调节轮心位置的主动自由度，轮体另设一个主动滚动自由度。腿部以大腿和小腿构成等效二转动关节运动链，并通过辅助闭环连杆将髋部第二路驱动传递至小腿。单腿由15mm厚铝制大腿、15mm厚碳纤维小腿、辅助传动碳纤维连杆、铝制限位件和麦克纳姆轮组成；麦克纳姆轮由3508型减速电机的输出轴驱动，电机安装于小腿端部；而两路腿部驱动同轴布置于髋部，由两个关节电机（髋关节电机与膝关节电机）实现驱动，通过4mm碳纤维复合材料安装板与躯干上层骨架连接，碳纤维板上铣出凹陷平台使得关节电机微微下沉内嵌于碳纤维板内，增加机械结构的稳定性；大腿与髋电机输出轴直接连接实现驱动，小腿（膝角）驱动则通过平行四边形传动链实现，一碳纤维小腿驱动杆与膝电机输出轴相连，结合传动连杆把力矩传动到小腿上实现控制，同时大腿与传动连杆之间增加一条平行碳纤维辅助连杆，既为膝角限位实现提供路径，也使得大小腿四连杆传动构型实现闭环，大大增加了结构的稳定性。</w:t>
      </w:r>
      <w:r>
        <w:t>机器人整体结构见图1。</w:t>
      </w:r>
    </w:p>
    <w:p w14:paraId="563F4CC1">
      <w:pPr>
        <w:keepNext/>
        <w:keepLines/>
        <w:spacing w:before="60" w:after="0"/>
        <w:ind w:firstLine="0"/>
        <w:jc w:val="center"/>
      </w:pPr>
      <w:r>
        <w:drawing>
          <wp:inline distT="0" distB="0" distL="0" distR="0">
            <wp:extent cx="1111250" cy="2422525"/>
            <wp:effectExtent l="0" t="0" r="6350" b="3175"/>
            <wp:docPr id="201" name="图1  四轮足机械臂机器人整体结构" descr="图1  四轮足机械臂机器人整体结构。图中展示六自由度夹爪机械臂、躯干框架及轮腿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1  四轮足机械臂机器人整体结构" descr="图1  四轮足机械臂机器人整体结构。图中展示六自由度夹爪机械臂、躯干框架及轮腿机构。"/>
                    <pic:cNvPicPr>
                      <a:picLocks noChangeAspect="1"/>
                    </pic:cNvPicPr>
                  </pic:nvPicPr>
                  <pic:blipFill>
                    <a:blip r:embed="rId5"/>
                    <a:stretch>
                      <a:fillRect/>
                    </a:stretch>
                  </pic:blipFill>
                  <pic:spPr>
                    <a:xfrm rot="5400000">
                      <a:off x="0" y="0"/>
                      <a:ext cx="1111762" cy="2423159"/>
                    </a:xfrm>
                    <a:prstGeom prst="rect">
                      <a:avLst/>
                    </a:prstGeom>
                  </pic:spPr>
                </pic:pic>
              </a:graphicData>
            </a:graphic>
          </wp:inline>
        </w:drawing>
      </w:r>
    </w:p>
    <w:p w14:paraId="1138BDA2">
      <w:pPr>
        <w:pStyle w:val="19"/>
        <w:numPr>
          <w:ilvl w:val="0"/>
          <w:numId w:val="0"/>
        </w:numPr>
      </w:pPr>
      <w:r>
        <w:rPr>
          <w:lang w:eastAsia="zh-CN"/>
        </w:rPr>
        <w:t>图1</w:t>
      </w:r>
      <w:r>
        <w:rPr>
          <w:rFonts w:hint="eastAsia"/>
          <w:lang w:val="en-US" w:eastAsia="zh-CN"/>
        </w:rPr>
        <w:t xml:space="preserve"> </w:t>
      </w:r>
      <w:r>
        <w:rPr>
          <w:lang w:eastAsia="zh-CN"/>
        </w:rPr>
        <w:t>四轮足机械臂机器人整体结构</w:t>
      </w:r>
    </w:p>
    <w:p w14:paraId="48CFA5A6">
      <w:pPr>
        <w:pStyle w:val="5"/>
        <w:numPr>
          <w:ilvl w:val="3"/>
          <w:numId w:val="1"/>
        </w:numPr>
      </w:pPr>
      <w:r>
        <w:rPr>
          <w:lang w:eastAsia="zh-CN"/>
        </w:rPr>
        <w:t>单腿二维建模与简化受力分析</w:t>
      </w:r>
      <w:r>
        <w:t xml:space="preserve">  </w:t>
      </w:r>
      <w:r>
        <w:rPr>
          <w:i w:val="0"/>
          <w:iCs w:val="0"/>
          <w:lang w:eastAsia="zh-CN"/>
        </w:rPr>
        <w:t>在腿部二维模型中，</w:t>
      </w:r>
      <m:oMath>
        <m:r>
          <m:rPr/>
          <w:rPr>
            <w:rFonts w:ascii="Cambria Math" w:hAnsi="Cambria Math"/>
            <w:color w:val="000000"/>
            <w:sz w:val="18"/>
            <w:szCs w:val="18"/>
            <w:lang w:eastAsia="zh-CN"/>
          </w:rPr>
          <m:t>O</m:t>
        </m:r>
      </m:oMath>
      <w:r>
        <w:rPr>
          <w:i w:val="0"/>
          <w:iCs w:val="0"/>
          <w:lang w:eastAsia="zh-CN"/>
        </w:rPr>
        <w:t>、</w:t>
      </w:r>
      <m:oMath>
        <m:r>
          <m:rPr/>
          <w:rPr>
            <w:rFonts w:ascii="Cambria Math" w:hAnsi="Cambria Math"/>
            <w:color w:val="000000"/>
            <w:sz w:val="18"/>
            <w:szCs w:val="18"/>
            <w:lang w:eastAsia="zh-CN"/>
          </w:rPr>
          <m:t>K</m:t>
        </m:r>
      </m:oMath>
      <w:r>
        <w:rPr>
          <w:i w:val="0"/>
          <w:iCs w:val="0"/>
          <w:lang w:eastAsia="zh-CN"/>
        </w:rPr>
        <w:t>、</w:t>
      </w:r>
      <m:oMath>
        <m:r>
          <m:rPr/>
          <w:rPr>
            <w:rFonts w:ascii="Cambria Math" w:hAnsi="Cambria Math"/>
            <w:color w:val="000000"/>
            <w:sz w:val="18"/>
            <w:szCs w:val="18"/>
            <w:lang w:eastAsia="zh-CN"/>
          </w:rPr>
          <m:t>W</m:t>
        </m:r>
      </m:oMath>
      <w:r>
        <w:rPr>
          <w:i w:val="0"/>
          <w:iCs w:val="0"/>
          <w:lang w:eastAsia="zh-CN"/>
        </w:rPr>
        <w:t>分别表示髋关节中心、膝关节中心和轮心，</w:t>
      </w:r>
      <m:oMath>
        <m:r>
          <m:rPr/>
          <w:rPr>
            <w:rFonts w:ascii="Cambria Math" w:hAnsi="Cambria Math"/>
            <w:lang w:eastAsia="zh-CN"/>
          </w:rPr>
          <m:t>F=</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hint="default" w:ascii="Cambria Math"/>
                      </w:rPr>
                      <m:t>x</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hint="default" w:ascii="Cambria Math"/>
                      </w:rPr>
                      <m:t>z</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i w:val="0"/>
          <w:iCs w:val="0"/>
          <w:lang w:eastAsia="zh-CN"/>
        </w:rPr>
        <w:t>是轮体对小腿的轴端作用力，</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hint="default" w:ascii="Cambria Math"/>
              </w:rPr>
              <m:t>x</m:t>
            </m:r>
            <m:ctrlPr>
              <w:rPr>
                <w:rFonts w:ascii="Cambria Math" w:hAnsi="Cambria Math"/>
              </w:rPr>
            </m:ctrlPr>
          </m:sub>
        </m:sSub>
        <m:r>
          <m:rPr>
            <m:sty m:val="p"/>
          </m:rPr>
          <w:rPr>
            <w:rFonts w:hint="eastAsia" w:ascii="Cambria Math" w:hAnsi="Cambria Math"/>
            <w:lang w:eastAsia="zh-CN"/>
          </w:rPr>
          <m:t>、</m:t>
        </m:r>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hint="default" w:ascii="Cambria Math"/>
              </w:rPr>
              <m:t>z</m:t>
            </m:r>
            <m:ctrlPr>
              <w:rPr>
                <w:rFonts w:ascii="Cambria Math" w:hAnsi="Cambria Math"/>
              </w:rPr>
            </m:ctrlPr>
          </m:sub>
        </m:sSub>
      </m:oMath>
      <w:r>
        <w:rPr>
          <w:i w:val="0"/>
          <w:iCs w:val="0"/>
          <w:lang w:val="en-US" w:eastAsia="zh-CN"/>
        </w:rPr>
        <w:t>定义</w:t>
      </w:r>
      <w:r>
        <w:rPr>
          <w:rFonts w:hint="eastAsia"/>
          <w:i w:val="0"/>
          <w:iCs w:val="0"/>
          <w:lang w:val="en-US" w:eastAsia="zh-CN"/>
        </w:rPr>
        <w:t>为</w:t>
      </w:r>
      <m:oMath>
        <m:r>
          <m:rPr/>
          <w:rPr>
            <w:rFonts w:ascii="Cambria Math" w:hAnsi="Cambria Math"/>
            <w:lang w:eastAsia="zh-CN"/>
          </w:rPr>
          <m:t>F</m:t>
        </m:r>
      </m:oMath>
      <w:r>
        <w:rPr>
          <w:rFonts w:hint="eastAsia" w:hAnsi="Cambria Math"/>
          <w:i w:val="0"/>
          <w:lang w:val="en-US" w:eastAsia="zh-CN"/>
        </w:rPr>
        <w:t>在</w:t>
      </w:r>
      <m:oMath>
        <m:r>
          <m:rPr/>
          <w:rPr>
            <w:rFonts w:ascii="Cambria Math" w:hAnsi="Cambria Math"/>
            <w:color w:val="000000"/>
            <w:sz w:val="18"/>
            <w:szCs w:val="18"/>
            <w:lang w:eastAsia="zh-CN"/>
          </w:rPr>
          <m:t>X</m:t>
        </m:r>
      </m:oMath>
      <w:r>
        <w:rPr>
          <w:rFonts w:hint="eastAsia" w:hAnsi="Cambria Math"/>
          <w:i w:val="0"/>
          <w:lang w:val="en-US" w:eastAsia="zh-CN"/>
        </w:rPr>
        <w:t>、Z方向上的分力，</w:t>
      </w:r>
      <w:r>
        <w:rPr>
          <w:i w:val="0"/>
          <w:iCs w:val="0"/>
          <w:lang w:val="en-US" w:eastAsia="zh-CN"/>
        </w:rPr>
        <w:t>见图2(b)、图2(c)图示标注</w:t>
      </w:r>
      <w:r>
        <w:rPr>
          <w:i w:val="0"/>
          <w:iCs w:val="0"/>
          <w:lang w:eastAsia="zh-CN"/>
        </w:rPr>
        <w:t>，</w:t>
      </w:r>
      <m:oMath>
        <m:r>
          <m:rPr/>
          <w:rPr>
            <w:rFonts w:ascii="Cambria Math" w:hAnsi="Cambria Math"/>
            <w:color w:val="000000"/>
            <w:sz w:val="18"/>
            <w:szCs w:val="18"/>
            <w:lang w:eastAsia="zh-CN"/>
          </w:rPr>
          <m:t>M</m:t>
        </m:r>
      </m:oMath>
      <w:r>
        <w:rPr>
          <w:i w:val="0"/>
          <w:iCs w:val="0"/>
          <w:lang w:eastAsia="zh-CN"/>
        </w:rPr>
        <w:t>是轮体对小腿的反作用力矩；轮体所受对应载荷为</w:t>
      </w:r>
      <m:oMath>
        <m:r>
          <m:rPr/>
          <w:rPr>
            <w:rFonts w:ascii="Cambria Math" w:hAnsi="Cambria Math"/>
            <w:color w:val="000000"/>
            <w:sz w:val="18"/>
            <w:szCs w:val="18"/>
            <w:lang w:eastAsia="zh-CN"/>
          </w:rPr>
          <m:t>−F</m:t>
        </m:r>
      </m:oMath>
      <w:r>
        <w:rPr>
          <w:i w:val="0"/>
          <w:iCs w:val="0"/>
          <w:lang w:eastAsia="zh-CN"/>
        </w:rPr>
        <w:t>和</w:t>
      </w:r>
      <m:oMath>
        <m:r>
          <m:rPr/>
          <w:rPr>
            <w:rFonts w:ascii="Cambria Math" w:hAnsi="Cambria Math"/>
            <w:color w:val="000000"/>
            <w:sz w:val="18"/>
            <w:szCs w:val="18"/>
            <w:lang w:eastAsia="zh-CN"/>
          </w:rPr>
          <m:t>−M</m:t>
        </m:r>
      </m:oMath>
      <w:r>
        <w:rPr>
          <w:i w:val="0"/>
          <w:iCs w:val="0"/>
          <w:lang w:eastAsia="zh-CN"/>
        </w:rPr>
        <w:t>。</w:t>
      </w:r>
      <w:r>
        <w:rPr>
          <w:rFonts w:ascii="Times New Roman" w:hAnsi="Times New Roman" w:eastAsia="宋体" w:cs="Times New Roman"/>
          <w:i w:val="0"/>
          <w:iCs w:val="0"/>
          <w:lang w:val="en-US" w:eastAsia="zh-CN" w:bidi="ar-SA"/>
        </w:rPr>
        <w:t xml:space="preserve">髋部对腿部机构的总支反力记为 </w:t>
      </w:r>
      <m:oMath>
        <m:r>
          <m:rPr/>
          <w:rPr>
            <w:rFonts w:hint="default" w:ascii="Cambria Math"/>
          </w:rPr>
          <m:t>R=(</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z</m:t>
            </m:r>
            <m:ctrlPr>
              <w:rPr>
                <w:rFonts w:hint="default" w:ascii="Cambria Math"/>
              </w:rPr>
            </m:ctrlPr>
          </m:sub>
        </m:sSub>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T</m:t>
            </m:r>
            <m:ctrlPr>
              <w:rPr>
                <w:rFonts w:hint="default" w:ascii="Cambria Math"/>
              </w:rPr>
            </m:ctrlPr>
          </m:sup>
        </m:sSup>
      </m:oMath>
      <w:r>
        <w:rPr>
          <w:rFonts w:ascii="Times New Roman" w:hAnsi="Times New Roman" w:eastAsia="宋体" w:cs="Times New Roman"/>
          <w:i w:val="0"/>
          <w:iCs w:val="0"/>
          <w:lang w:val="en-US" w:eastAsia="zh-CN" w:bidi="ar-SA"/>
        </w:rPr>
        <w:t xml:space="preserve">，其中 </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x</m:t>
            </m:r>
            <m:ctrlPr>
              <w:rPr>
                <w:rFonts w:hint="default" w:ascii="Cambria Math"/>
              </w:rPr>
            </m:ctrlPr>
          </m:sub>
        </m:sSub>
        <m:r>
          <m:rPr>
            <m:sty m:val="p"/>
          </m:rPr>
          <w:rPr>
            <w:rFonts w:hint="eastAsia" w:ascii="Cambria Math"/>
            <w:lang w:eastAsia="zh-CN"/>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z</m:t>
            </m:r>
            <m:ctrlPr>
              <w:rPr>
                <w:rFonts w:hint="default" w:ascii="Cambria Math"/>
              </w:rPr>
            </m:ctrlPr>
          </m:sub>
        </m:sSub>
      </m:oMath>
      <w:r>
        <w:rPr>
          <w:rFonts w:ascii="Times New Roman" w:hAnsi="Times New Roman" w:eastAsia="宋体" w:cs="Times New Roman"/>
          <w:i w:val="0"/>
          <w:iCs w:val="0"/>
          <w:lang w:val="en-US" w:eastAsia="zh-CN" w:bidi="ar-SA"/>
        </w:rPr>
        <w:t xml:space="preserve"> 分别为其水平、竖直分量</w:t>
      </w:r>
      <w:r>
        <w:rPr>
          <w:rFonts w:hint="eastAsia" w:cs="Times New Roman"/>
          <w:i w:val="0"/>
          <w:iCs w:val="0"/>
          <w:lang w:val="en-US" w:eastAsia="zh-CN" w:bidi="ar-SA"/>
        </w:rPr>
        <w:t>，</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2</m:t>
            </m:r>
            <m:ctrlPr>
              <w:rPr>
                <w:rFonts w:hint="default" w:ascii="Cambria Math"/>
              </w:rPr>
            </m:ctrlPr>
          </m:sub>
        </m:sSub>
      </m:oMath>
      <w:r>
        <w:rPr>
          <w:rFonts w:hint="eastAsia" w:ascii="Times New Roman" w:hAnsi="Times New Roman" w:eastAsia="宋体" w:cs="Times New Roman"/>
          <w:i w:val="0"/>
          <w:iCs w:val="0"/>
          <w:lang w:val="en-US" w:eastAsia="zh-CN" w:bidi="ar-SA"/>
        </w:rPr>
        <w:t xml:space="preserve">分别表示髋部两路驱动连接对腿部机构施加的支反力，二者合力为 </w:t>
      </w:r>
      <m:oMath>
        <m:r>
          <m:rPr/>
          <w:rPr>
            <w:rFonts w:hint="default" w:ascii="Cambria Math"/>
          </w:rPr>
          <m:t>R=</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2</m:t>
            </m:r>
            <m:ctrlPr>
              <w:rPr>
                <w:rFonts w:hint="default" w:ascii="Cambria Math"/>
              </w:rPr>
            </m:ctrlPr>
          </m:sub>
        </m:sSub>
      </m:oMath>
      <w:r>
        <w:rPr>
          <w:rFonts w:ascii="Times New Roman" w:hAnsi="Times New Roman" w:eastAsia="宋体" w:cs="Times New Roman"/>
          <w:i w:val="0"/>
          <w:iCs w:val="0"/>
          <w:lang w:val="en-US" w:eastAsia="zh-CN" w:bidi="ar-SA"/>
        </w:rPr>
        <w:t>。</w:t>
      </w:r>
      <m:oMath>
        <m:r>
          <m:rPr/>
          <w:rPr>
            <w:rFonts w:ascii="Cambria Math" w:hAnsi="Cambria Math"/>
            <w:color w:val="000000"/>
            <w:sz w:val="18"/>
            <w:szCs w:val="18"/>
            <w:lang w:eastAsia="zh-CN"/>
          </w:rPr>
          <m:t>N</m:t>
        </m:r>
      </m:oMath>
      <w:r>
        <w:rPr>
          <w:i w:val="0"/>
          <w:iCs w:val="0"/>
          <w:lang w:eastAsia="zh-CN"/>
        </w:rPr>
        <w:t>、</w:t>
      </w:r>
      <m:oMath>
        <m:r>
          <m:rPr/>
          <w:rPr>
            <w:rFonts w:ascii="Cambria Math" w:hAnsi="Cambria Math"/>
            <w:color w:val="000000"/>
            <w:sz w:val="18"/>
            <w:szCs w:val="18"/>
            <w:lang w:eastAsia="zh-CN"/>
          </w:rPr>
          <m:t>T</m:t>
        </m:r>
      </m:oMath>
      <w:r>
        <w:rPr>
          <w:i w:val="0"/>
          <w:iCs w:val="0"/>
          <w:lang w:eastAsia="zh-CN"/>
        </w:rPr>
        <w:t>分别为轮地接触力的法向分量与图示平面内切向分量，</w:t>
      </w:r>
      <m:oMath>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R</m:t>
            </m:r>
            <m:ctrlPr>
              <w:rPr>
                <w:rFonts w:ascii="Cambria Math" w:hAnsi="Cambria Math"/>
                <w:color w:val="000000"/>
                <w:sz w:val="18"/>
                <w:szCs w:val="18"/>
                <w:lang w:eastAsia="zh-CN"/>
              </w:rPr>
            </m:ctrlPr>
          </m:e>
          <m:sub>
            <m:r>
              <m:rPr/>
              <w:rPr>
                <w:rFonts w:ascii="Cambria Math" w:hAnsi="Cambria Math"/>
                <w:color w:val="000000"/>
                <w:sz w:val="18"/>
                <w:szCs w:val="18"/>
                <w:lang w:eastAsia="zh-CN"/>
              </w:rPr>
              <m:t>w</m:t>
            </m:r>
            <m:ctrlPr>
              <w:rPr>
                <w:rFonts w:ascii="Cambria Math" w:hAnsi="Cambria Math"/>
                <w:color w:val="000000"/>
                <w:sz w:val="18"/>
                <w:szCs w:val="18"/>
                <w:lang w:eastAsia="zh-CN"/>
              </w:rPr>
            </m:ctrlPr>
          </m:sub>
        </m:sSub>
      </m:oMath>
      <w:r>
        <w:rPr>
          <w:i w:val="0"/>
          <w:iCs w:val="0"/>
          <w:lang w:eastAsia="zh-CN"/>
        </w:rPr>
        <w:t>为轮半径。箭头表示约定正方向，并非求解后的实际力方向，计算结果可为负。单腿机构及轮端受力关系见图2。</w:t>
      </w:r>
    </w:p>
    <w:p w14:paraId="26A3A070">
      <w:pPr>
        <w:pStyle w:val="7"/>
      </w:pPr>
      <w:r>
        <w:rPr>
          <w:lang w:eastAsia="zh-CN"/>
        </w:rPr>
        <w:t>令</w:t>
      </w:r>
      <m:oMath>
        <m:sSub>
          <w:bookmarkStart w:id="0" w:name="OLE_LINK1"/>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φ</m:t>
            </m:r>
            <m:ctrlPr>
              <w:rPr>
                <w:rFonts w:ascii="Cambria Math" w:hAnsi="Cambria Math"/>
                <w:color w:val="000000"/>
                <w:sz w:val="18"/>
                <w:szCs w:val="18"/>
                <w:lang w:eastAsia="zh-CN"/>
              </w:rPr>
            </m:ctrlPr>
          </m:e>
          <m:sub>
            <m:r>
              <m:rPr/>
              <w:rPr>
                <w:rFonts w:ascii="Cambria Math" w:hAnsi="Cambria Math"/>
                <w:color w:val="000000"/>
                <w:sz w:val="18"/>
                <w:szCs w:val="18"/>
                <w:lang w:eastAsia="zh-CN"/>
              </w:rPr>
              <m:t>0</m:t>
            </m:r>
            <w:bookmarkEnd w:id="0"/>
            <m:ctrlPr>
              <w:rPr>
                <w:rFonts w:ascii="Cambria Math" w:hAnsi="Cambria Math"/>
                <w:color w:val="000000"/>
                <w:sz w:val="18"/>
                <w:szCs w:val="18"/>
                <w:lang w:eastAsia="zh-CN"/>
              </w:rPr>
            </m:ctrlPr>
          </m:sub>
        </m:sSub>
      </m:oMath>
      <w:r>
        <w:rPr>
          <w:lang w:eastAsia="zh-CN"/>
        </w:rPr>
        <w:t>为向量</w:t>
      </w:r>
      <m:oMath>
        <m:groupChr>
          <m:groupChrPr>
            <m:chr m:val="⇀"/>
            <m:pos m:val="top"/>
            <m:vertJc m:val="bot"/>
            <m:ctrlPr>
              <w:rPr>
                <w:rFonts w:ascii="Cambria Math" w:hAnsi="Cambria Math"/>
                <w:color w:val="000000"/>
                <w:sz w:val="18"/>
                <w:szCs w:val="18"/>
                <w:lang w:eastAsia="zh-CN"/>
              </w:rPr>
            </m:ctrlPr>
          </m:groupChrPr>
          <m:e>
            <m:r>
              <m:rPr/>
              <w:rPr>
                <w:rFonts w:ascii="Cambria Math" w:hAnsi="Cambria Math"/>
                <w:color w:val="000000"/>
                <w:sz w:val="18"/>
                <w:szCs w:val="18"/>
                <w:lang w:eastAsia="zh-CN"/>
              </w:rPr>
              <m:t>OW</m:t>
            </m:r>
            <m:ctrlPr>
              <w:rPr>
                <w:rFonts w:ascii="Cambria Math" w:hAnsi="Cambria Math"/>
                <w:color w:val="000000"/>
                <w:sz w:val="18"/>
                <w:szCs w:val="18"/>
                <w:lang w:eastAsia="zh-CN"/>
              </w:rPr>
            </m:ctrlPr>
          </m:e>
        </m:groupChr>
      </m:oMath>
      <w:r>
        <w:rPr>
          <w:lang w:eastAsia="zh-CN"/>
        </w:rPr>
        <w:t>相对</w:t>
      </w:r>
      <m:oMath>
        <m:r>
          <m:rPr/>
          <w:rPr>
            <w:rFonts w:ascii="Cambria Math" w:hAnsi="Cambria Math"/>
            <w:color w:val="000000"/>
            <w:sz w:val="18"/>
            <w:szCs w:val="18"/>
            <w:lang w:eastAsia="zh-CN"/>
          </w:rPr>
          <m:t>X</m:t>
        </m:r>
      </m:oMath>
      <w:r>
        <w:rPr>
          <w:lang w:eastAsia="zh-CN"/>
        </w:rPr>
        <w:t>轴正半轴的方向角，</w:t>
      </w:r>
      <m:oMath>
        <m:r>
          <m:rPr/>
          <w:rPr>
            <w:rFonts w:ascii="Cambria Math" w:hAnsi="Cambria Math"/>
            <w:color w:val="000000"/>
            <w:sz w:val="18"/>
            <w:szCs w:val="18"/>
            <w:lang w:eastAsia="zh-CN"/>
          </w:rPr>
          <m:t>θ</m:t>
        </m:r>
      </m:oMath>
      <w:r>
        <w:rPr>
          <w:lang w:eastAsia="zh-CN"/>
        </w:rPr>
        <w:t>、</w:t>
      </w:r>
      <m:oMath>
        <m:r>
          <m:rPr/>
          <w:rPr>
            <w:rFonts w:ascii="Cambria Math" w:hAnsi="Cambria Math"/>
            <w:color w:val="000000"/>
            <w:sz w:val="18"/>
            <w:szCs w:val="18"/>
            <w:lang w:eastAsia="zh-CN"/>
          </w:rPr>
          <m:t>φ</m:t>
        </m:r>
      </m:oMath>
      <w:r>
        <w:rPr>
          <w:lang w:eastAsia="zh-CN"/>
        </w:rPr>
        <w:t>分别为</w:t>
      </w:r>
      <m:oMath>
        <m:groupChr>
          <m:groupChrPr>
            <m:chr m:val="⇀"/>
            <m:pos m:val="top"/>
            <m:vertJc m:val="bot"/>
            <m:ctrlPr>
              <w:rPr>
                <w:rFonts w:ascii="Cambria Math" w:hAnsi="Cambria Math"/>
                <w:color w:val="000000"/>
                <w:sz w:val="18"/>
                <w:szCs w:val="18"/>
                <w:lang w:eastAsia="zh-CN"/>
              </w:rPr>
            </m:ctrlPr>
          </m:groupChrPr>
          <m:e>
            <m:r>
              <m:rPr/>
              <w:rPr>
                <w:rFonts w:ascii="Cambria Math" w:hAnsi="Cambria Math"/>
                <w:color w:val="000000"/>
                <w:sz w:val="18"/>
                <w:szCs w:val="18"/>
                <w:lang w:eastAsia="zh-CN"/>
              </w:rPr>
              <m:t>OK</m:t>
            </m:r>
            <m:ctrlPr>
              <w:rPr>
                <w:rFonts w:ascii="Cambria Math" w:hAnsi="Cambria Math"/>
                <w:color w:val="000000"/>
                <w:sz w:val="18"/>
                <w:szCs w:val="18"/>
                <w:lang w:eastAsia="zh-CN"/>
              </w:rPr>
            </m:ctrlPr>
          </m:e>
        </m:groupChr>
      </m:oMath>
      <w:r>
        <w:rPr>
          <w:lang w:eastAsia="zh-CN"/>
        </w:rPr>
        <w:t>、</w:t>
      </w:r>
      <m:oMath>
        <m:groupChr>
          <m:groupChrPr>
            <m:chr m:val="⇀"/>
            <m:pos m:val="top"/>
            <m:vertJc m:val="bot"/>
            <m:ctrlPr>
              <w:rPr>
                <w:rFonts w:ascii="Cambria Math" w:hAnsi="Cambria Math"/>
                <w:color w:val="000000"/>
                <w:sz w:val="18"/>
                <w:szCs w:val="18"/>
                <w:lang w:eastAsia="zh-CN"/>
              </w:rPr>
            </m:ctrlPr>
          </m:groupChrPr>
          <m:e>
            <m:r>
              <m:rPr/>
              <w:rPr>
                <w:rFonts w:ascii="Cambria Math" w:hAnsi="Cambria Math"/>
                <w:color w:val="000000"/>
                <w:sz w:val="18"/>
                <w:szCs w:val="18"/>
                <w:lang w:eastAsia="zh-CN"/>
              </w:rPr>
              <m:t>KW</m:t>
            </m:r>
            <m:ctrlPr>
              <w:rPr>
                <w:rFonts w:ascii="Cambria Math" w:hAnsi="Cambria Math"/>
                <w:color w:val="000000"/>
                <w:sz w:val="18"/>
                <w:szCs w:val="18"/>
                <w:lang w:eastAsia="zh-CN"/>
              </w:rPr>
            </m:ctrlPr>
          </m:e>
        </m:groupChr>
      </m:oMath>
      <w:r>
        <w:rPr>
          <w:lang w:eastAsia="zh-CN"/>
        </w:rPr>
        <w:t>的绝对角。沿</w:t>
      </w:r>
      <m:oMath>
        <m:groupChr>
          <m:groupChrPr>
            <m:chr m:val="⇀"/>
            <m:pos m:val="top"/>
            <m:vertJc m:val="bot"/>
            <m:ctrlPr>
              <w:rPr>
                <w:rFonts w:ascii="Cambria Math" w:hAnsi="Cambria Math"/>
                <w:color w:val="000000"/>
                <w:sz w:val="18"/>
                <w:szCs w:val="18"/>
                <w:lang w:eastAsia="zh-CN"/>
              </w:rPr>
            </m:ctrlPr>
          </m:groupChrPr>
          <m:e>
            <m:r>
              <m:rPr/>
              <w:rPr>
                <w:rFonts w:ascii="Cambria Math" w:hAnsi="Cambria Math"/>
                <w:color w:val="000000"/>
                <w:sz w:val="18"/>
                <w:szCs w:val="18"/>
                <w:lang w:eastAsia="zh-CN"/>
              </w:rPr>
              <m:t>OW</m:t>
            </m:r>
            <m:ctrlPr>
              <w:rPr>
                <w:rFonts w:ascii="Cambria Math" w:hAnsi="Cambria Math"/>
                <w:color w:val="000000"/>
                <w:sz w:val="18"/>
                <w:szCs w:val="18"/>
                <w:lang w:eastAsia="zh-CN"/>
              </w:rPr>
            </m:ctrlPr>
          </m:e>
        </m:groupChr>
      </m:oMath>
      <w:r>
        <w:rPr>
          <w:lang w:eastAsia="zh-CN"/>
        </w:rPr>
        <w:t>的单位向量为</w:t>
      </w:r>
      <m:oMath>
        <m:groupChr>
          <m:groupChrPr>
            <m:chr m:val="⇀"/>
            <m:pos m:val="top"/>
            <m:vertJc m:val="bot"/>
            <m:ctrlPr>
              <w:rPr>
                <w:rFonts w:ascii="Cambria Math" w:hAnsi="Cambria Math"/>
                <w:color w:val="000000"/>
                <w:sz w:val="18"/>
                <w:szCs w:val="18"/>
                <w:lang w:eastAsia="zh-CN"/>
              </w:rPr>
            </m:ctrlPr>
          </m:groupChrPr>
          <m:e>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e</m:t>
                </m:r>
                <m:ctrlPr>
                  <w:rPr>
                    <w:rFonts w:ascii="Cambria Math" w:hAnsi="Cambria Math"/>
                    <w:color w:val="000000"/>
                    <w:sz w:val="18"/>
                    <w:szCs w:val="18"/>
                    <w:lang w:eastAsia="zh-CN"/>
                  </w:rPr>
                </m:ctrlPr>
              </m:e>
              <m:sub>
                <m:r>
                  <m:rPr/>
                  <w:rPr>
                    <w:rFonts w:ascii="Cambria Math" w:hAnsi="Cambria Math"/>
                    <w:color w:val="000000"/>
                    <w:sz w:val="18"/>
                    <w:szCs w:val="18"/>
                    <w:lang w:eastAsia="zh-CN"/>
                  </w:rPr>
                  <m:t>r</m:t>
                </m:r>
                <m:ctrlPr>
                  <w:rPr>
                    <w:rFonts w:ascii="Cambria Math" w:hAnsi="Cambria Math"/>
                    <w:color w:val="000000"/>
                    <w:sz w:val="18"/>
                    <w:szCs w:val="18"/>
                    <w:lang w:eastAsia="zh-CN"/>
                  </w:rPr>
                </m:ctrlPr>
              </m:sub>
            </m:sSub>
            <m:ctrlPr>
              <w:rPr>
                <w:rFonts w:ascii="Cambria Math" w:hAnsi="Cambria Math"/>
                <w:color w:val="000000"/>
                <w:sz w:val="18"/>
                <w:szCs w:val="18"/>
                <w:lang w:eastAsia="zh-CN"/>
              </w:rPr>
            </m:ctrlPr>
          </m:e>
        </m:groupChr>
      </m:oMath>
      <w:r>
        <w:rPr>
          <w:lang w:eastAsia="zh-CN"/>
        </w:rPr>
        <w:t>，与之垂直且按</w:t>
      </w:r>
      <m:oMath>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φ</m:t>
            </m:r>
            <m:ctrlPr>
              <w:rPr>
                <w:rFonts w:ascii="Cambria Math" w:hAnsi="Cambria Math"/>
                <w:color w:val="000000"/>
                <w:sz w:val="18"/>
                <w:szCs w:val="18"/>
                <w:lang w:eastAsia="zh-CN"/>
              </w:rPr>
            </m:ctrlPr>
          </m:e>
          <m:sub>
            <m:r>
              <m:rPr/>
              <w:rPr>
                <w:rFonts w:ascii="Cambria Math" w:hAnsi="Cambria Math"/>
                <w:color w:val="000000"/>
                <w:sz w:val="18"/>
                <w:szCs w:val="18"/>
                <w:lang w:eastAsia="zh-CN"/>
              </w:rPr>
              <m:t>0</m:t>
            </m:r>
            <m:ctrlPr>
              <w:rPr>
                <w:rFonts w:ascii="Cambria Math" w:hAnsi="Cambria Math"/>
                <w:color w:val="000000"/>
                <w:sz w:val="18"/>
                <w:szCs w:val="18"/>
                <w:lang w:eastAsia="zh-CN"/>
              </w:rPr>
            </m:ctrlPr>
          </m:sub>
        </m:sSub>
      </m:oMath>
      <w:r>
        <w:rPr>
          <w:lang w:eastAsia="zh-CN"/>
        </w:rPr>
        <w:t>增大方向取向的单位向量为</w:t>
      </w:r>
      <m:oMath>
        <m:groupChr>
          <m:groupChrPr>
            <m:chr m:val="⇀"/>
            <m:pos m:val="top"/>
            <m:vertJc m:val="bot"/>
            <m:ctrlPr>
              <w:rPr>
                <w:rFonts w:ascii="Cambria Math" w:hAnsi="Cambria Math"/>
                <w:color w:val="000000"/>
                <w:sz w:val="18"/>
                <w:szCs w:val="18"/>
                <w:lang w:eastAsia="zh-CN"/>
              </w:rPr>
            </m:ctrlPr>
          </m:groupChrPr>
          <m:e>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e</m:t>
                </m:r>
                <m:ctrlPr>
                  <w:rPr>
                    <w:rFonts w:ascii="Cambria Math" w:hAnsi="Cambria Math"/>
                    <w:color w:val="000000"/>
                    <w:sz w:val="18"/>
                    <w:szCs w:val="18"/>
                    <w:lang w:eastAsia="zh-CN"/>
                  </w:rPr>
                </m:ctrlPr>
              </m:e>
              <m:sub>
                <m:r>
                  <m:rPr/>
                  <w:rPr>
                    <w:rFonts w:ascii="Cambria Math" w:hAnsi="Cambria Math"/>
                    <w:color w:val="000000"/>
                    <w:sz w:val="18"/>
                    <w:szCs w:val="18"/>
                    <w:lang w:eastAsia="zh-CN"/>
                  </w:rPr>
                  <m:t>t</m:t>
                </m:r>
                <m:ctrlPr>
                  <w:rPr>
                    <w:rFonts w:ascii="Cambria Math" w:hAnsi="Cambria Math"/>
                    <w:color w:val="000000"/>
                    <w:sz w:val="18"/>
                    <w:szCs w:val="18"/>
                    <w:lang w:eastAsia="zh-CN"/>
                  </w:rPr>
                </m:ctrlPr>
              </m:sub>
            </m:sSub>
            <m:ctrlPr>
              <w:rPr>
                <w:rFonts w:ascii="Cambria Math" w:hAnsi="Cambria Math"/>
                <w:color w:val="000000"/>
                <w:sz w:val="18"/>
                <w:szCs w:val="18"/>
                <w:lang w:eastAsia="zh-CN"/>
              </w:rPr>
            </m:ctrlPr>
          </m:e>
        </m:groupChr>
      </m:oMath>
      <w:r>
        <w:rPr>
          <w:lang w:eastAsia="zh-CN"/>
        </w:rPr>
        <w:t>。定义</w:t>
      </w:r>
      <m:oMath>
        <m:r>
          <m:rPr/>
          <w:rPr>
            <w:rFonts w:ascii="Cambria Math" w:hAnsi="Cambria Math"/>
            <w:lang w:eastAsia="zh-CN"/>
          </w:rPr>
          <m:t>F=</m:t>
        </m:r>
        <m:r>
          <m:rPr/>
          <w:rPr>
            <w:rFonts w:hint="default" w:ascii="Cambria Math" w:hAnsi="Cambria Math"/>
            <w:lang w:val="en-US" w:eastAsia="zh-CN"/>
          </w:rPr>
          <m:t>−</m:t>
        </m:r>
        <m:r>
          <m:rPr/>
          <w:rPr>
            <w:rFonts w:ascii="Cambria Math" w:hAnsi="Cambria Math"/>
            <w:color w:val="000000"/>
            <w:sz w:val="18"/>
            <w:szCs w:val="18"/>
            <w:lang w:eastAsia="zh-CN"/>
          </w:rPr>
          <m:t>P</m:t>
        </m:r>
        <m:groupChr>
          <m:groupChrPr>
            <m:chr m:val="⇀"/>
            <m:pos m:val="top"/>
            <m:vertJc m:val="bot"/>
            <m:ctrlPr>
              <w:rPr>
                <w:rFonts w:ascii="Cambria Math" w:hAnsi="Cambria Math"/>
                <w:color w:val="000000"/>
                <w:sz w:val="18"/>
                <w:szCs w:val="18"/>
                <w:lang w:eastAsia="zh-CN"/>
              </w:rPr>
            </m:ctrlPr>
          </m:groupChrPr>
          <m:e>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e</m:t>
                </m:r>
                <m:ctrlPr>
                  <w:rPr>
                    <w:rFonts w:ascii="Cambria Math" w:hAnsi="Cambria Math"/>
                    <w:color w:val="000000"/>
                    <w:sz w:val="18"/>
                    <w:szCs w:val="18"/>
                    <w:lang w:eastAsia="zh-CN"/>
                  </w:rPr>
                </m:ctrlPr>
              </m:e>
              <m:sub>
                <m:r>
                  <m:rPr/>
                  <w:rPr>
                    <w:rFonts w:ascii="Cambria Math" w:hAnsi="Cambria Math"/>
                    <w:color w:val="000000"/>
                    <w:sz w:val="18"/>
                    <w:szCs w:val="18"/>
                    <w:lang w:eastAsia="zh-CN"/>
                  </w:rPr>
                  <m:t>r</m:t>
                </m:r>
                <m:ctrlPr>
                  <w:rPr>
                    <w:rFonts w:ascii="Cambria Math" w:hAnsi="Cambria Math"/>
                    <w:color w:val="000000"/>
                    <w:sz w:val="18"/>
                    <w:szCs w:val="18"/>
                    <w:lang w:eastAsia="zh-CN"/>
                  </w:rPr>
                </m:ctrlPr>
              </m:sub>
            </m:sSub>
            <m:ctrlPr>
              <w:rPr>
                <w:rFonts w:ascii="Cambria Math" w:hAnsi="Cambria Math"/>
                <w:color w:val="000000"/>
                <w:sz w:val="18"/>
                <w:szCs w:val="18"/>
                <w:lang w:eastAsia="zh-CN"/>
              </w:rPr>
            </m:ctrlPr>
          </m:e>
        </m:groupChr>
        <m:r>
          <m:rPr>
            <m:sty m:val="p"/>
          </m:rPr>
          <w:rPr>
            <w:rFonts w:hint="default" w:ascii="Cambria Math" w:hAnsi="Cambria Math"/>
            <w:color w:val="000000"/>
            <w:sz w:val="18"/>
            <w:szCs w:val="18"/>
            <w:lang w:val="en-US" w:eastAsia="zh-CN"/>
          </w:rPr>
          <m:t>+</m:t>
        </m:r>
        <m:r>
          <m:rPr/>
          <w:rPr>
            <w:rFonts w:ascii="Cambria Math" w:hAnsi="Cambria Math"/>
            <w:color w:val="000000"/>
            <w:sz w:val="18"/>
            <w:szCs w:val="18"/>
            <w:lang w:eastAsia="zh-CN"/>
          </w:rPr>
          <m:t>Q</m:t>
        </m:r>
        <m:groupChr>
          <m:groupChrPr>
            <m:chr m:val="⇀"/>
            <m:pos m:val="top"/>
            <m:vertJc m:val="bot"/>
            <m:ctrlPr>
              <w:rPr>
                <w:rFonts w:ascii="Cambria Math" w:hAnsi="Cambria Math"/>
                <w:color w:val="000000"/>
                <w:sz w:val="18"/>
                <w:szCs w:val="18"/>
                <w:lang w:eastAsia="zh-CN"/>
              </w:rPr>
            </m:ctrlPr>
          </m:groupChrPr>
          <m:e>
            <m:sSub>
              <m:sSubPr>
                <m:ctrlPr>
                  <w:rPr>
                    <w:rFonts w:ascii="Cambria Math" w:hAnsi="Cambria Math"/>
                    <w:color w:val="000000"/>
                    <w:sz w:val="18"/>
                    <w:szCs w:val="18"/>
                    <w:lang w:eastAsia="zh-CN"/>
                  </w:rPr>
                </m:ctrlPr>
              </m:sSubPr>
              <m:e>
                <m:r>
                  <m:rPr/>
                  <w:rPr>
                    <w:rFonts w:ascii="Cambria Math" w:hAnsi="Cambria Math"/>
                    <w:color w:val="000000"/>
                    <w:sz w:val="18"/>
                    <w:szCs w:val="18"/>
                    <w:lang w:eastAsia="zh-CN"/>
                  </w:rPr>
                  <m:t>e</m:t>
                </m:r>
                <m:ctrlPr>
                  <w:rPr>
                    <w:rFonts w:ascii="Cambria Math" w:hAnsi="Cambria Math"/>
                    <w:color w:val="000000"/>
                    <w:sz w:val="18"/>
                    <w:szCs w:val="18"/>
                    <w:lang w:eastAsia="zh-CN"/>
                  </w:rPr>
                </m:ctrlPr>
              </m:e>
              <m:sub>
                <m:r>
                  <m:rPr/>
                  <w:rPr>
                    <w:rFonts w:ascii="Cambria Math" w:hAnsi="Cambria Math"/>
                    <w:color w:val="000000"/>
                    <w:sz w:val="18"/>
                    <w:szCs w:val="18"/>
                    <w:lang w:eastAsia="zh-CN"/>
                  </w:rPr>
                  <m:t>t</m:t>
                </m:r>
                <m:ctrlPr>
                  <w:rPr>
                    <w:rFonts w:ascii="Cambria Math" w:hAnsi="Cambria Math"/>
                    <w:color w:val="000000"/>
                    <w:sz w:val="18"/>
                    <w:szCs w:val="18"/>
                    <w:lang w:eastAsia="zh-CN"/>
                  </w:rPr>
                </m:ctrlPr>
              </m:sub>
            </m:sSub>
            <m:ctrlPr>
              <w:rPr>
                <w:rFonts w:ascii="Cambria Math" w:hAnsi="Cambria Math"/>
                <w:color w:val="000000"/>
                <w:sz w:val="18"/>
                <w:szCs w:val="18"/>
                <w:lang w:eastAsia="zh-CN"/>
              </w:rPr>
            </m:ctrlPr>
          </m:e>
        </m:groupChr>
      </m:oMath>
      <w:r>
        <w:rPr>
          <w:lang w:eastAsia="zh-CN"/>
        </w:rPr>
        <w:t>，其中</w:t>
      </w:r>
      <m:oMath>
        <m:r>
          <m:rPr/>
          <w:rPr>
            <w:rFonts w:ascii="Cambria Math" w:hAnsi="Cambria Math"/>
            <w:color w:val="000000"/>
            <w:sz w:val="18"/>
            <w:szCs w:val="18"/>
            <w:lang w:eastAsia="zh-CN"/>
          </w:rPr>
          <m:t>P</m:t>
        </m:r>
      </m:oMath>
      <w:r>
        <w:rPr>
          <w:lang w:eastAsia="zh-CN"/>
        </w:rPr>
        <w:t>表示沿虚拟腿指向髋部的压缩支撑力，</w:t>
      </w:r>
      <m:oMath>
        <m:r>
          <m:rPr/>
          <w:rPr>
            <w:rFonts w:ascii="Cambria Math" w:hAnsi="Cambria Math"/>
            <w:color w:val="000000"/>
            <w:sz w:val="18"/>
            <w:szCs w:val="18"/>
            <w:lang w:eastAsia="zh-CN"/>
          </w:rPr>
          <m:t>Q</m:t>
        </m:r>
      </m:oMath>
      <w:r>
        <w:rPr>
          <w:lang w:eastAsia="zh-CN"/>
        </w:rPr>
        <w:t>为与虚拟腿垂直的切向力；</w:t>
      </w:r>
      <m:oMath>
        <m:sSub>
          <m:sSubPr>
            <m:ctrlPr>
              <w:rPr>
                <w:rFonts w:ascii="Cambria Math" w:hAnsi="Cambria Math"/>
                <w:color w:val="000000"/>
                <w:sz w:val="18"/>
                <w:szCs w:val="18"/>
                <w:lang w:eastAsia="zh-CN"/>
              </w:rPr>
            </m:ctrlPr>
          </m:sSubPr>
          <m:e>
            <m:r>
              <m:rPr>
                <m:nor/>
                <m:sty m:val="p"/>
              </m:rPr>
              <w:rPr>
                <w:b w:val="0"/>
                <w:i w:val="0"/>
                <w:color w:val="000000"/>
                <w:sz w:val="18"/>
                <w:szCs w:val="18"/>
                <w:lang w:eastAsia="zh-CN"/>
              </w:rPr>
              <m:t>u</m:t>
            </m:r>
            <m:ctrlPr>
              <w:rPr>
                <w:rFonts w:ascii="Cambria Math" w:hAnsi="Cambria Math"/>
                <w:color w:val="000000"/>
                <w:sz w:val="18"/>
                <w:szCs w:val="18"/>
                <w:lang w:eastAsia="zh-CN"/>
              </w:rPr>
            </m:ctrlPr>
          </m:e>
          <m:sub>
            <m:r>
              <m:rPr/>
              <w:rPr>
                <w:rFonts w:ascii="Cambria Math" w:hAnsi="Cambria Math"/>
                <w:color w:val="000000"/>
                <w:sz w:val="18"/>
                <w:szCs w:val="18"/>
                <w:lang w:eastAsia="zh-CN"/>
              </w:rPr>
              <m:t>1</m:t>
            </m:r>
            <m:ctrlPr>
              <w:rPr>
                <w:rFonts w:ascii="Cambria Math" w:hAnsi="Cambria Math"/>
                <w:color w:val="000000"/>
                <w:sz w:val="18"/>
                <w:szCs w:val="18"/>
                <w:lang w:eastAsia="zh-CN"/>
              </w:rPr>
            </m:ctrlPr>
          </m:sub>
        </m:sSub>
      </m:oMath>
      <w:r>
        <w:rPr>
          <w:lang w:eastAsia="zh-CN"/>
        </w:rPr>
        <w:t>、</w:t>
      </w:r>
      <m:oMath>
        <m:sSub>
          <m:sSubPr>
            <m:ctrlPr>
              <w:rPr>
                <w:rFonts w:ascii="Cambria Math" w:hAnsi="Cambria Math"/>
                <w:color w:val="000000"/>
                <w:sz w:val="18"/>
                <w:szCs w:val="18"/>
                <w:lang w:eastAsia="zh-CN"/>
              </w:rPr>
            </m:ctrlPr>
          </m:sSubPr>
          <m:e>
            <m:r>
              <m:rPr>
                <m:nor/>
                <m:sty m:val="p"/>
              </m:rPr>
              <w:rPr>
                <w:b w:val="0"/>
                <w:i w:val="0"/>
                <w:color w:val="000000"/>
                <w:sz w:val="18"/>
                <w:szCs w:val="18"/>
                <w:lang w:eastAsia="zh-CN"/>
              </w:rPr>
              <m:t>u</m:t>
            </m:r>
            <m:ctrlPr>
              <w:rPr>
                <w:rFonts w:ascii="Cambria Math" w:hAnsi="Cambria Math"/>
                <w:color w:val="000000"/>
                <w:sz w:val="18"/>
                <w:szCs w:val="18"/>
                <w:lang w:eastAsia="zh-CN"/>
              </w:rPr>
            </m:ctrlPr>
          </m:e>
          <m:sub>
            <m:r>
              <m:rPr/>
              <w:rPr>
                <w:rFonts w:ascii="Cambria Math" w:hAnsi="Cambria Math"/>
                <w:color w:val="000000"/>
                <w:sz w:val="18"/>
                <w:szCs w:val="18"/>
                <w:lang w:eastAsia="zh-CN"/>
              </w:rPr>
              <m:t>2</m:t>
            </m:r>
            <m:ctrlPr>
              <w:rPr>
                <w:rFonts w:ascii="Cambria Math" w:hAnsi="Cambria Math"/>
                <w:color w:val="000000"/>
                <w:sz w:val="18"/>
                <w:szCs w:val="18"/>
                <w:lang w:eastAsia="zh-CN"/>
              </w:rPr>
            </m:ctrlPr>
          </m:sub>
        </m:sSub>
      </m:oMath>
      <w:r>
        <w:rPr>
          <w:lang w:eastAsia="zh-CN"/>
        </w:rPr>
        <w:t>为髋部两路输出轴力矩。这里简化力学分析仅考虑轮轴力F的贡献，未计杆件重力、惯性及轴端力矩M。单腿二维建模与简化受力分析如图3所示。</w:t>
      </w:r>
    </w:p>
    <w:p w14:paraId="56F9064C">
      <w:pPr>
        <w:keepNext/>
        <w:keepLines/>
        <w:spacing w:before="60" w:after="0"/>
        <w:ind w:firstLine="0"/>
        <w:jc w:val="center"/>
      </w:pPr>
      <w:r>
        <w:drawing>
          <wp:inline distT="0" distB="0" distL="0" distR="0">
            <wp:extent cx="3195955" cy="847725"/>
            <wp:effectExtent l="0" t="0" r="0" b="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
                    <pic:cNvPicPr>
                      <a:picLocks noChangeAspect="1"/>
                    </pic:cNvPicPr>
                  </pic:nvPicPr>
                  <pic:blipFill>
                    <a:blip r:embed="rId6" cstate="print">
                      <a:extLst>
                        <a:ext uri="{28A0092B-C50C-407E-A947-70E740481C1C}">
                          <a14:useLocalDpi xmlns:a14="http://schemas.microsoft.com/office/drawing/2010/main" val="0"/>
                        </a:ext>
                      </a:extLst>
                    </a:blip>
                    <a:srcRect l="3599" t="1896" r="1531" b="4583"/>
                    <a:stretch>
                      <a:fillRect/>
                    </a:stretch>
                  </pic:blipFill>
                  <pic:spPr>
                    <a:xfrm>
                      <a:off x="0" y="0"/>
                      <a:ext cx="3195955" cy="848256"/>
                    </a:xfrm>
                    <a:prstGeom prst="rect">
                      <a:avLst/>
                    </a:prstGeom>
                    <a:ln>
                      <a:noFill/>
                    </a:ln>
                  </pic:spPr>
                </pic:pic>
              </a:graphicData>
            </a:graphic>
          </wp:inline>
        </w:drawing>
      </w:r>
    </w:p>
    <w:tbl>
      <w:tblPr>
        <w:tblStyle w:val="10"/>
        <w:tblW w:w="50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77"/>
        <w:gridCol w:w="1677"/>
        <w:gridCol w:w="1678"/>
      </w:tblGrid>
      <w:tr w14:paraId="2EFB3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77" w:type="dxa"/>
            <w:vAlign w:val="center"/>
          </w:tcPr>
          <w:p w14:paraId="6E4EC286">
            <w:pPr>
              <w:pStyle w:val="27"/>
              <w:keepNext/>
              <w:spacing w:before="0" w:after="0" w:line="200" w:lineRule="atLeast"/>
              <w:jc w:val="center"/>
            </w:pPr>
            <w:r>
              <w:rPr>
                <w:lang w:eastAsia="zh-CN"/>
              </w:rPr>
              <w:t>(</w:t>
            </w:r>
            <m:oMath>
              <m:r>
                <m:rPr>
                  <m:nor/>
                  <m:sty m:val="p"/>
                </m:rPr>
                <w:rPr>
                  <w:rFonts w:ascii="Cambria Math" w:hAnsi="Cambria Math" w:eastAsiaTheme="minorEastAsia" w:cstheme="minorBidi"/>
                  <w:b w:val="0"/>
                  <w:i w:val="0"/>
                  <w:iCs/>
                  <w:kern w:val="2"/>
                  <w:sz w:val="13"/>
                  <w:szCs w:val="13"/>
                  <w:lang w:eastAsia="zh-CN"/>
                </w:rPr>
                <m:t>a</m:t>
              </m:r>
            </m:oMath>
            <w:r>
              <w:rPr>
                <w:lang w:eastAsia="zh-CN"/>
              </w:rPr>
              <w:t>)机构几何与角度</w:t>
            </w:r>
          </w:p>
        </w:tc>
        <w:tc>
          <w:tcPr>
            <w:tcW w:w="1677" w:type="dxa"/>
            <w:vAlign w:val="center"/>
          </w:tcPr>
          <w:p w14:paraId="5E8986B7">
            <w:pPr>
              <w:pStyle w:val="27"/>
              <w:keepNext/>
              <w:spacing w:before="0" w:after="0" w:line="200" w:lineRule="atLeast"/>
              <w:jc w:val="center"/>
            </w:pPr>
            <w:r>
              <w:rPr>
                <w:lang w:eastAsia="zh-CN"/>
              </w:rPr>
              <w:t>(</w:t>
            </w:r>
            <m:oMath>
              <m:r>
                <m:rPr>
                  <m:nor/>
                  <m:sty m:val="p"/>
                </m:rPr>
                <w:rPr>
                  <w:rFonts w:ascii="Cambria Math" w:hAnsi="Cambria Math" w:eastAsiaTheme="minorEastAsia" w:cstheme="minorBidi"/>
                  <w:b w:val="0"/>
                  <w:i w:val="0"/>
                  <w:iCs/>
                  <w:kern w:val="2"/>
                  <w:sz w:val="13"/>
                  <w:szCs w:val="13"/>
                  <w:lang w:eastAsia="zh-CN"/>
                </w:rPr>
                <m:t>b</m:t>
              </m:r>
            </m:oMath>
            <w:r>
              <w:rPr>
                <w:lang w:eastAsia="zh-CN"/>
              </w:rPr>
              <w:t>)整腿外载荷,驱动力矩</w:t>
            </w:r>
          </w:p>
        </w:tc>
        <w:tc>
          <w:tcPr>
            <w:tcW w:w="1678" w:type="dxa"/>
            <w:vAlign w:val="center"/>
          </w:tcPr>
          <w:p w14:paraId="5D01F405">
            <w:pPr>
              <w:pStyle w:val="27"/>
              <w:keepNext/>
              <w:spacing w:before="0" w:after="0" w:line="200" w:lineRule="atLeast"/>
              <w:jc w:val="center"/>
            </w:pPr>
            <w:r>
              <w:rPr>
                <w:lang w:eastAsia="zh-CN"/>
              </w:rPr>
              <w:t>(</w:t>
            </w:r>
            <m:oMath>
              <m:r>
                <m:rPr>
                  <m:nor/>
                  <m:sty m:val="p"/>
                </m:rPr>
                <w:rPr>
                  <w:rFonts w:ascii="Cambria Math" w:hAnsi="Cambria Math" w:eastAsiaTheme="minorEastAsia" w:cstheme="minorBidi"/>
                  <w:b w:val="0"/>
                  <w:i w:val="0"/>
                  <w:iCs/>
                  <w:kern w:val="2"/>
                  <w:sz w:val="13"/>
                  <w:szCs w:val="13"/>
                  <w:lang w:eastAsia="zh-CN"/>
                </w:rPr>
                <m:t>c</m:t>
              </m:r>
            </m:oMath>
            <w:r>
              <w:rPr>
                <w:lang w:eastAsia="zh-CN"/>
              </w:rPr>
              <w:t>)轮体自由体</w:t>
            </w:r>
          </w:p>
        </w:tc>
      </w:tr>
    </w:tbl>
    <w:p w14:paraId="77D243B1">
      <w:pPr>
        <w:pStyle w:val="19"/>
        <w:numPr>
          <w:ilvl w:val="0"/>
          <w:numId w:val="0"/>
        </w:numPr>
      </w:pPr>
      <w:r>
        <w:rPr>
          <w:lang w:eastAsia="zh-CN"/>
        </w:rPr>
        <w:t>图2</w:t>
      </w:r>
      <w:r>
        <w:rPr>
          <w:rFonts w:hint="eastAsia"/>
          <w:lang w:val="en-US" w:eastAsia="zh-CN"/>
        </w:rPr>
        <w:t xml:space="preserve"> </w:t>
      </w:r>
      <w:r>
        <w:rPr>
          <w:lang w:eastAsia="zh-CN"/>
        </w:rPr>
        <w:t>单腿机构与轮端受力示意</w:t>
      </w:r>
      <w:r>
        <w:rPr>
          <w:lang w:val="en-US" w:eastAsia="zh-CN"/>
        </w:rPr>
        <w:t>图</w:t>
      </w:r>
      <w:r>
        <w:rPr>
          <w:lang w:eastAsia="zh-CN"/>
        </w:rPr>
        <w:t>：F和M为轮体对小腿的作用，轮体上对应载荷为−F和−M；箭头表示符号正方向。</w:t>
      </w:r>
    </w:p>
    <w:p w14:paraId="479C895F">
      <w:pPr>
        <w:keepNext/>
        <w:keepLines/>
        <w:spacing w:before="60" w:after="0"/>
        <w:ind w:firstLine="0"/>
        <w:jc w:val="center"/>
      </w:pPr>
      <w:r>
        <w:drawing>
          <wp:inline distT="0" distB="0" distL="0" distR="0">
            <wp:extent cx="3195955" cy="1312545"/>
            <wp:effectExtent l="0" t="0" r="0" b="7620"/>
            <wp:docPr id="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
                    <pic:cNvPicPr>
                      <a:picLocks noChangeAspect="1"/>
                    </pic:cNvPicPr>
                  </pic:nvPicPr>
                  <pic:blipFill>
                    <a:blip r:embed="rId7" cstate="print">
                      <a:extLst>
                        <a:ext uri="{28A0092B-C50C-407E-A947-70E740481C1C}">
                          <a14:useLocalDpi xmlns:a14="http://schemas.microsoft.com/office/drawing/2010/main" val="0"/>
                        </a:ext>
                      </a:extLst>
                    </a:blip>
                    <a:srcRect l="3419" t="19516" r="1380"/>
                    <a:stretch>
                      <a:fillRect/>
                    </a:stretch>
                  </pic:blipFill>
                  <pic:spPr>
                    <a:xfrm>
                      <a:off x="0" y="0"/>
                      <a:ext cx="3195955" cy="1313113"/>
                    </a:xfrm>
                    <a:prstGeom prst="rect">
                      <a:avLst/>
                    </a:prstGeom>
                    <a:ln>
                      <a:noFill/>
                    </a:ln>
                  </pic:spPr>
                </pic:pic>
              </a:graphicData>
            </a:graphic>
          </wp:inline>
        </w:drawing>
      </w:r>
    </w:p>
    <w:tbl>
      <w:tblPr>
        <w:tblStyle w:val="10"/>
        <w:tblW w:w="50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6"/>
        <w:gridCol w:w="2517"/>
      </w:tblGrid>
      <w:tr w14:paraId="31CD8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16" w:type="dxa"/>
            <w:vAlign w:val="center"/>
          </w:tcPr>
          <w:p w14:paraId="20F6662B">
            <w:pPr>
              <w:pStyle w:val="27"/>
              <w:keepNext/>
              <w:spacing w:before="0" w:after="0" w:line="200" w:lineRule="atLeast"/>
              <w:jc w:val="center"/>
            </w:pPr>
            <w:r>
              <w:rPr>
                <w:lang w:eastAsia="zh-CN"/>
              </w:rPr>
              <w:t>(</w:t>
            </w:r>
            <m:oMath>
              <m:r>
                <m:rPr>
                  <m:nor/>
                  <m:sty m:val="p"/>
                </m:rPr>
                <w:rPr>
                  <w:rFonts w:ascii="Cambria Math" w:hAnsi="Cambria Math" w:eastAsiaTheme="minorEastAsia" w:cstheme="minorBidi"/>
                  <w:b w:val="0"/>
                  <w:i w:val="0"/>
                  <w:iCs/>
                  <w:kern w:val="2"/>
                  <w:sz w:val="13"/>
                  <w:szCs w:val="13"/>
                  <w:lang w:eastAsia="zh-CN"/>
                </w:rPr>
                <m:t>a</m:t>
              </m:r>
            </m:oMath>
            <w:r>
              <w:rPr>
                <w:lang w:eastAsia="zh-CN"/>
              </w:rPr>
              <w:t>)径向支撑与切向载荷</w:t>
            </w:r>
          </w:p>
        </w:tc>
        <w:tc>
          <w:tcPr>
            <w:tcW w:w="2517" w:type="dxa"/>
            <w:vAlign w:val="center"/>
          </w:tcPr>
          <w:p w14:paraId="27BA514B">
            <w:pPr>
              <w:pStyle w:val="27"/>
              <w:keepNext/>
              <w:spacing w:before="0" w:after="0" w:line="200" w:lineRule="atLeast"/>
              <w:jc w:val="center"/>
            </w:pPr>
            <w:r>
              <w:rPr>
                <w:lang w:eastAsia="zh-CN"/>
              </w:rPr>
              <w:t>(</w:t>
            </w:r>
            <m:oMath>
              <m:r>
                <m:rPr>
                  <m:nor/>
                  <m:sty m:val="p"/>
                </m:rPr>
                <w:rPr>
                  <w:rFonts w:ascii="Cambria Math" w:hAnsi="宋体" w:eastAsiaTheme="minorEastAsia" w:cstheme="minorBidi"/>
                  <w:b w:val="0"/>
                  <w:i w:val="0"/>
                  <w:kern w:val="2"/>
                  <w:sz w:val="13"/>
                  <w:szCs w:val="13"/>
                  <w:lang w:eastAsia="zh-CN"/>
                </w:rPr>
                <m:t>b</m:t>
              </m:r>
            </m:oMath>
            <w:r>
              <w:rPr>
                <w:lang w:eastAsia="zh-CN"/>
              </w:rPr>
              <w:t>)两路髋部输出力矩</w:t>
            </w:r>
          </w:p>
        </w:tc>
      </w:tr>
    </w:tbl>
    <w:p w14:paraId="343FD271">
      <w:pPr>
        <w:pStyle w:val="19"/>
        <w:numPr>
          <w:ilvl w:val="0"/>
          <w:numId w:val="0"/>
        </w:numPr>
      </w:pPr>
      <w:r>
        <w:rPr>
          <w:lang w:eastAsia="zh-CN"/>
        </w:rPr>
        <w:t>图3</w:t>
      </w:r>
      <w:r>
        <w:rPr>
          <w:rFonts w:hint="eastAsia"/>
          <w:lang w:val="en-US" w:eastAsia="zh-CN"/>
        </w:rPr>
        <w:t xml:space="preserve"> </w:t>
      </w:r>
      <w:r>
        <w:rPr>
          <w:lang w:eastAsia="zh-CN"/>
        </w:rPr>
        <w:t>虚拟腿载荷与髋部输出力矩：图(</w:t>
      </w:r>
      <m:oMath>
        <m:r>
          <m:rPr>
            <m:nor/>
            <m:sty m:val="p"/>
          </m:rPr>
          <w:rPr>
            <w:rFonts w:ascii="Cambria Math" w:hAnsi="Cambria Math" w:eastAsiaTheme="minorEastAsia" w:cstheme="minorBidi"/>
            <w:b w:val="0"/>
            <w:i w:val="0"/>
            <w:iCs/>
            <w:kern w:val="2"/>
            <w:sz w:val="13"/>
            <w:szCs w:val="13"/>
            <w:lang w:eastAsia="zh-CN"/>
          </w:rPr>
          <m:t>a</m:t>
        </m:r>
      </m:oMath>
      <w:r>
        <w:rPr>
          <w:lang w:eastAsia="zh-CN"/>
        </w:rPr>
        <w:t>)为径向支撑力P、切向力Q及力臂定义；图(</w:t>
      </w:r>
      <m:oMath>
        <m:r>
          <m:rPr>
            <m:nor/>
            <m:sty m:val="p"/>
          </m:rPr>
          <w:rPr>
            <w:rFonts w:ascii="Cambria Math" w:hAnsi="宋体" w:eastAsiaTheme="minorEastAsia" w:cstheme="minorBidi"/>
            <w:b w:val="0"/>
            <w:i w:val="0"/>
            <w:kern w:val="2"/>
            <w:sz w:val="13"/>
            <w:szCs w:val="13"/>
            <w:lang w:eastAsia="zh-CN"/>
          </w:rPr>
          <m:t>b</m:t>
        </m:r>
      </m:oMath>
      <w:r>
        <w:rPr>
          <w:lang w:eastAsia="zh-CN"/>
        </w:rPr>
        <w:t>)为两路髋部输出力矩u1、u2的对应关系。</w:t>
      </w:r>
    </w:p>
    <w:p w14:paraId="30BA1ED1">
      <w:pPr>
        <w:pStyle w:val="7"/>
      </w:pPr>
      <w:r>
        <w:rPr>
          <w:lang w:eastAsia="zh-CN"/>
        </w:rPr>
        <w:t>髋部集中驱动的这一设计避免了膝关节电机置于膝部时跟随大腿末端大幅摆动，能够有效减小腿部摆动惯量。主要承载冲击与受力的大腿和小腿通过拓扑优化与有限元分析后优化设计，有选择地进行了局部镂空，在保证机械强度、结构完整的同时尽量实现轻量化，如图4(</w:t>
      </w:r>
      <m:oMath>
        <m:r>
          <m:rPr/>
          <w:rPr>
            <w:rFonts w:ascii="Cambria Math" w:hAnsi="Cambria Math"/>
            <w:lang w:eastAsia="zh-CN"/>
          </w:rPr>
          <m:t>a</m:t>
        </m:r>
      </m:oMath>
      <w:r>
        <w:rPr>
          <w:lang w:eastAsia="zh-CN"/>
        </w:rPr>
        <w:t>)为底盘机械结构装配体截图，图4(</w:t>
      </w:r>
      <m:oMath>
        <m:r>
          <m:rPr/>
          <w:rPr>
            <w:rFonts w:ascii="Cambria Math" w:hAnsi="Cambria Math"/>
            <w:lang w:eastAsia="zh-CN"/>
          </w:rPr>
          <m:t>b</m:t>
        </m:r>
      </m:oMath>
      <w:r>
        <w:rPr>
          <w:lang w:eastAsia="zh-CN"/>
        </w:rPr>
        <w:t>)为大腿有限元分析截图；同时，为了方便腿部复杂的电气走线，也通过铣削加工在二者表面做出走线槽设计，以兼顾质量、布线及装配需求。</w:t>
      </w:r>
    </w:p>
    <w:p w14:paraId="28D529E7">
      <w:pPr>
        <w:keepNext/>
        <w:keepLines/>
        <w:spacing w:before="60" w:after="0"/>
        <w:ind w:firstLine="0"/>
        <w:jc w:val="center"/>
      </w:pPr>
      <w:r>
        <w:drawing>
          <wp:inline distT="0" distB="0" distL="0" distR="0">
            <wp:extent cx="3178810" cy="1064895"/>
            <wp:effectExtent l="0" t="0" r="2540" b="1905"/>
            <wp:docPr id="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
                    <pic:cNvPicPr>
                      <a:picLocks noChangeAspect="1"/>
                    </pic:cNvPicPr>
                  </pic:nvPicPr>
                  <pic:blipFill>
                    <a:blip r:embed="rId8"/>
                    <a:stretch>
                      <a:fillRect/>
                    </a:stretch>
                  </pic:blipFill>
                  <pic:spPr>
                    <a:xfrm>
                      <a:off x="0" y="0"/>
                      <a:ext cx="3178810" cy="1064895"/>
                    </a:xfrm>
                    <a:prstGeom prst="rect">
                      <a:avLst/>
                    </a:prstGeom>
                    <a:noFill/>
                    <a:ln>
                      <a:noFill/>
                    </a:ln>
                  </pic:spPr>
                </pic:pic>
              </a:graphicData>
            </a:graphic>
          </wp:inline>
        </w:drawing>
      </w:r>
    </w:p>
    <w:tbl>
      <w:tblPr>
        <w:tblStyle w:val="10"/>
        <w:tblW w:w="50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15"/>
        <w:gridCol w:w="2618"/>
      </w:tblGrid>
      <w:tr w14:paraId="2B360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15" w:type="dxa"/>
            <w:vAlign w:val="center"/>
          </w:tcPr>
          <w:p w14:paraId="49284D78">
            <w:pPr>
              <w:pStyle w:val="27"/>
              <w:keepNext/>
              <w:spacing w:before="0" w:after="0" w:line="200" w:lineRule="atLeast"/>
              <w:jc w:val="center"/>
            </w:pPr>
            <w:r>
              <w:rPr>
                <w:lang w:eastAsia="zh-CN"/>
              </w:rPr>
              <w:t>(</w:t>
            </w:r>
            <m:oMath>
              <m:r>
                <m:rPr>
                  <m:nor/>
                  <m:sty m:val="p"/>
                </m:rPr>
                <w:rPr>
                  <w:rFonts w:ascii="宋体" w:hAnsi="宋体" w:eastAsiaTheme="minorEastAsia" w:cstheme="minorBidi"/>
                  <w:b w:val="0"/>
                  <w:i w:val="0"/>
                  <w:iCs/>
                  <w:kern w:val="2"/>
                  <w:sz w:val="13"/>
                  <w:szCs w:val="13"/>
                  <w:lang w:eastAsia="zh-CN"/>
                </w:rPr>
                <m:t>a</m:t>
              </m:r>
            </m:oMath>
            <w:r>
              <w:rPr>
                <w:lang w:eastAsia="zh-CN"/>
              </w:rPr>
              <w:t>)四轮足底盘装配体</w:t>
            </w:r>
          </w:p>
        </w:tc>
        <w:tc>
          <w:tcPr>
            <w:tcW w:w="2618" w:type="dxa"/>
            <w:vAlign w:val="center"/>
          </w:tcPr>
          <w:p w14:paraId="2A30BFAC">
            <w:pPr>
              <w:pStyle w:val="27"/>
              <w:keepNext/>
              <w:spacing w:before="0" w:after="0" w:line="200" w:lineRule="atLeast"/>
              <w:jc w:val="center"/>
            </w:pPr>
            <w:r>
              <w:rPr>
                <w:lang w:eastAsia="zh-CN"/>
              </w:rPr>
              <w:t>(</w:t>
            </w:r>
            <m:oMath>
              <m:r>
                <m:rPr>
                  <m:nor/>
                  <m:sty m:val="p"/>
                </m:rPr>
                <w:rPr>
                  <w:rFonts w:ascii="宋体" w:hAnsi="宋体" w:eastAsiaTheme="minorEastAsia" w:cstheme="minorBidi"/>
                  <w:b w:val="0"/>
                  <w:i w:val="0"/>
                  <w:kern w:val="2"/>
                  <w:sz w:val="13"/>
                  <w:szCs w:val="13"/>
                  <w:lang w:eastAsia="zh-CN"/>
                </w:rPr>
                <m:t>b</m:t>
              </m:r>
            </m:oMath>
            <w:r>
              <w:rPr>
                <w:lang w:eastAsia="zh-CN"/>
              </w:rPr>
              <w:t>)大腿零件模型与有限元等效应力云图</w:t>
            </w:r>
          </w:p>
        </w:tc>
      </w:tr>
    </w:tbl>
    <w:p w14:paraId="52301891">
      <w:pPr>
        <w:pStyle w:val="19"/>
        <w:numPr>
          <w:ilvl w:val="0"/>
          <w:numId w:val="0"/>
        </w:numPr>
      </w:pPr>
      <w:r>
        <w:rPr>
          <w:lang w:eastAsia="zh-CN"/>
        </w:rPr>
        <w:t>图4</w:t>
      </w:r>
      <w:r>
        <w:rPr>
          <w:rFonts w:hint="eastAsia"/>
          <w:lang w:val="en-US" w:eastAsia="zh-CN"/>
        </w:rPr>
        <w:t xml:space="preserve"> </w:t>
      </w:r>
      <w:r>
        <w:rPr>
          <w:lang w:eastAsia="zh-CN"/>
        </w:rPr>
        <w:t>底盘装配与大腿结构分析</w:t>
      </w:r>
    </w:p>
    <w:p w14:paraId="1A2B43D3">
      <w:pPr>
        <w:pStyle w:val="5"/>
        <w:keepLines/>
        <w:numPr>
          <w:ilvl w:val="3"/>
          <w:numId w:val="1"/>
        </w:numPr>
      </w:pPr>
      <w:r>
        <w:rPr>
          <w:lang w:eastAsia="zh-CN"/>
        </w:rPr>
        <w:t>腿部尺寸与轮心工作空间</w:t>
      </w:r>
      <w:r>
        <w:t xml:space="preserve">  </w:t>
      </w:r>
      <w:r>
        <w:rPr>
          <w:i w:val="0"/>
          <w:iCs w:val="0"/>
          <w:lang w:eastAsia="zh-CN"/>
        </w:rPr>
        <w:t>在腿部参数设计上，大腿、小腿的关节中心距分别为170mm和220mm，平行四边形传动链短边长为70mm，前后髋关节中心距为360mm。膝角以膝内角α＝∠OKW定义，限位范围为37°～100°，并非电机输出轴的绝对转角。虚拟腿长满足|OW|²＝170²＋220²−2×170×220cosα，因而在不考虑实际限位的情况下，理想轮心到髋部的距离范围由公式计算可得约为132.52～300.48mm。单腿连杆拓扑结构和轮心几何范围示意图如图5所示。</w:t>
      </w:r>
    </w:p>
    <w:p w14:paraId="0BE51933">
      <w:pPr>
        <w:pStyle w:val="7"/>
      </w:pPr>
      <w:r>
        <w:rPr>
          <w:lang w:eastAsia="zh-CN"/>
        </w:rPr>
        <w:t>而在将机器人实体碰撞干涉纳入考虑后，在横梁、轮胎和辅助连杆等实体模型的约束下，双腿可配合实现的轮心运动范围示意图如图6所示。双腿可配合范围表示另一条腿可采取避让姿态时的轮心投影，不表示两区域内任意两点均可同时到达。上述结果为机器人站立、趴伏、上台阶等姿态规划提供几何依据，确保了以上腿部参数设计可以使得机器人具有充足空间实现站立、趴下、上台阶等动作的切换和顺畅运行，前后腿运动空间分析如图6所示</w:t>
      </w:r>
    </w:p>
    <w:p w14:paraId="30718387">
      <w:pPr>
        <w:keepNext/>
        <w:keepLines/>
        <w:spacing w:before="60" w:after="0"/>
        <w:ind w:firstLine="0"/>
        <w:jc w:val="center"/>
      </w:pPr>
      <w:r>
        <w:drawing>
          <wp:inline distT="0" distB="0" distL="114300" distR="114300">
            <wp:extent cx="3190240" cy="1107440"/>
            <wp:effectExtent l="0" t="0" r="63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190240" cy="1107440"/>
                    </a:xfrm>
                    <a:prstGeom prst="rect">
                      <a:avLst/>
                    </a:prstGeom>
                    <a:noFill/>
                    <a:ln>
                      <a:noFill/>
                    </a:ln>
                  </pic:spPr>
                </pic:pic>
              </a:graphicData>
            </a:graphic>
          </wp:inline>
        </w:drawing>
      </w:r>
    </w:p>
    <w:p w14:paraId="1B154BAA">
      <w:pPr>
        <w:pStyle w:val="19"/>
        <w:numPr>
          <w:ilvl w:val="0"/>
          <w:numId w:val="0"/>
        </w:numPr>
      </w:pPr>
      <w:r>
        <w:rPr>
          <w:lang w:eastAsia="zh-CN"/>
        </w:rPr>
        <w:t>图5</w:t>
      </w:r>
      <w:r>
        <w:rPr>
          <w:rFonts w:hint="eastAsia"/>
          <w:lang w:val="en-US" w:eastAsia="zh-CN"/>
        </w:rPr>
        <w:t xml:space="preserve"> </w:t>
      </w:r>
      <w:r>
        <w:rPr>
          <w:lang w:eastAsia="zh-CN"/>
        </w:rPr>
        <w:t>单腿连杆原理与轮心几何范围</w:t>
      </w:r>
    </w:p>
    <w:p w14:paraId="7CB95414">
      <w:pPr>
        <w:keepNext/>
        <w:keepLines/>
        <w:spacing w:before="60" w:after="0"/>
        <w:ind w:firstLine="0"/>
        <w:jc w:val="center"/>
      </w:pPr>
      <w:r>
        <w:drawing>
          <wp:inline distT="0" distB="0" distL="114300" distR="114300">
            <wp:extent cx="3192145" cy="1828165"/>
            <wp:effectExtent l="0" t="0" r="825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3192145" cy="1828165"/>
                    </a:xfrm>
                    <a:prstGeom prst="rect">
                      <a:avLst/>
                    </a:prstGeom>
                    <a:noFill/>
                    <a:ln>
                      <a:noFill/>
                    </a:ln>
                  </pic:spPr>
                </pic:pic>
              </a:graphicData>
            </a:graphic>
          </wp:inline>
        </w:drawing>
      </w:r>
    </w:p>
    <w:p w14:paraId="1B046A23">
      <w:pPr>
        <w:pStyle w:val="19"/>
        <w:numPr>
          <w:ilvl w:val="0"/>
          <w:numId w:val="0"/>
        </w:numPr>
      </w:pPr>
      <w:r>
        <w:rPr>
          <w:lang w:eastAsia="zh-CN"/>
        </w:rPr>
        <w:t>图6</w:t>
      </w:r>
      <w:r>
        <w:rPr>
          <w:rFonts w:hint="eastAsia"/>
          <w:lang w:val="en-US" w:eastAsia="zh-CN"/>
        </w:rPr>
        <w:t xml:space="preserve"> </w:t>
      </w:r>
      <w:r>
        <w:rPr>
          <w:lang w:eastAsia="zh-CN"/>
        </w:rPr>
        <w:t>前后腿轮心的二维工作空间</w:t>
      </w:r>
    </w:p>
    <w:p w14:paraId="13688F18">
      <w:pPr>
        <w:pStyle w:val="4"/>
        <w:numPr>
          <w:ilvl w:val="2"/>
          <w:numId w:val="1"/>
        </w:numPr>
      </w:pPr>
      <w:r>
        <w:rPr>
          <w:lang w:eastAsia="zh-CN"/>
        </w:rPr>
        <w:t>六自由度夹爪机械臂</w:t>
      </w:r>
      <w:r>
        <w:t xml:space="preserve">  </w:t>
      </w:r>
      <w:r>
        <w:rPr>
          <w:i w:val="0"/>
          <w:iCs w:val="0"/>
          <w:lang w:eastAsia="zh-CN"/>
        </w:rPr>
        <w:t>机器人搭载一条六自由度机械臂，末端安装连杆式夹爪，能够实现快速开合，设计开口范围为0～90mm，为复杂工作的实现提</w:t>
      </w:r>
      <w:bookmarkStart w:id="1" w:name="_GoBack"/>
      <w:bookmarkEnd w:id="1"/>
      <w:r>
        <w:rPr>
          <w:i w:val="0"/>
          <w:iCs w:val="0"/>
          <w:lang w:eastAsia="zh-CN"/>
        </w:rPr>
        <w:t>供了可能。机械臂臂长等参数定义和设计如表1和表2所示（考虑J2与J3的联动限位条件，表中J2与J3的范围不能作为相互独立的区间任意组合）。</w:t>
      </w:r>
    </w:p>
    <w:p w14:paraId="7AED7317">
      <w:pPr>
        <w:pStyle w:val="29"/>
        <w:keepNext/>
        <w:numPr>
          <w:ilvl w:val="0"/>
          <w:numId w:val="0"/>
        </w:numPr>
      </w:pPr>
      <w:r>
        <w:rPr>
          <w:lang w:eastAsia="zh-CN"/>
        </w:rPr>
        <w:t>表1机械臂几何参数</w:t>
      </w:r>
    </w:p>
    <w:tbl>
      <w:tblPr>
        <w:tblStyle w:val="10"/>
        <w:tblW w:w="50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1259"/>
        <w:gridCol w:w="2239"/>
      </w:tblGrid>
      <w:tr w14:paraId="6143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5" w:type="dxa"/>
            <w:vAlign w:val="center"/>
          </w:tcPr>
          <w:p w14:paraId="0265415B">
            <w:pPr>
              <w:pStyle w:val="25"/>
              <w:keepNext/>
              <w:spacing w:before="0" w:after="0" w:line="200" w:lineRule="atLeast"/>
              <w:jc w:val="center"/>
            </w:pPr>
            <w:r>
              <w:t>几何参数</w:t>
            </w:r>
          </w:p>
        </w:tc>
        <w:tc>
          <w:tcPr>
            <w:tcW w:w="1259" w:type="dxa"/>
            <w:vAlign w:val="center"/>
          </w:tcPr>
          <w:p w14:paraId="0188E740">
            <w:pPr>
              <w:pStyle w:val="25"/>
              <w:keepNext/>
              <w:spacing w:before="0" w:after="0" w:line="200" w:lineRule="atLeast"/>
              <w:jc w:val="center"/>
            </w:pPr>
            <w:r>
              <w:t>数值mm</w:t>
            </w:r>
          </w:p>
        </w:tc>
        <w:tc>
          <w:tcPr>
            <w:tcW w:w="2239" w:type="dxa"/>
            <w:vAlign w:val="center"/>
          </w:tcPr>
          <w:p w14:paraId="7C1C35A6">
            <w:pPr>
              <w:pStyle w:val="25"/>
              <w:keepNext/>
              <w:spacing w:before="0" w:after="0" w:line="200" w:lineRule="atLeast"/>
              <w:jc w:val="center"/>
            </w:pPr>
            <w:r>
              <w:t>对应定义</w:t>
            </w:r>
          </w:p>
        </w:tc>
      </w:tr>
      <w:tr w14:paraId="057E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6896E2EC">
            <w:pPr>
              <w:pStyle w:val="27"/>
              <w:keepNext/>
              <w:spacing w:before="0" w:after="0" w:line="200" w:lineRule="atLeast"/>
              <w:jc w:val="center"/>
            </w:pPr>
            <w:r>
              <w:t>link1</w:t>
            </w:r>
          </w:p>
        </w:tc>
        <w:tc>
          <w:tcPr>
            <w:tcW w:w="1259" w:type="dxa"/>
            <w:vAlign w:val="center"/>
          </w:tcPr>
          <w:p w14:paraId="7F8C6786">
            <w:pPr>
              <w:pStyle w:val="27"/>
              <w:keepNext/>
              <w:spacing w:before="0" w:after="0" w:line="200" w:lineRule="atLeast"/>
              <w:jc w:val="center"/>
            </w:pPr>
            <w:r>
              <w:t>74.1</w:t>
            </w:r>
          </w:p>
        </w:tc>
        <w:tc>
          <w:tcPr>
            <w:tcW w:w="2239" w:type="dxa"/>
            <w:vAlign w:val="center"/>
          </w:tcPr>
          <w:p w14:paraId="486C802E">
            <w:pPr>
              <w:pStyle w:val="27"/>
              <w:keepNext/>
              <w:spacing w:before="0" w:after="0" w:line="200" w:lineRule="atLeast"/>
              <w:jc w:val="left"/>
            </w:pPr>
            <w:r>
              <w:rPr>
                <w:lang w:eastAsia="zh-CN"/>
              </w:rPr>
              <w:t>J1底部参考原点至J2的竖直距离</w:t>
            </w:r>
          </w:p>
        </w:tc>
      </w:tr>
      <w:tr w14:paraId="0D8E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5A2956C0">
            <w:pPr>
              <w:pStyle w:val="27"/>
              <w:keepNext/>
              <w:spacing w:before="0" w:after="0" w:line="200" w:lineRule="atLeast"/>
              <w:jc w:val="center"/>
            </w:pPr>
            <w:r>
              <w:t>link2</w:t>
            </w:r>
          </w:p>
        </w:tc>
        <w:tc>
          <w:tcPr>
            <w:tcW w:w="1259" w:type="dxa"/>
            <w:vAlign w:val="center"/>
          </w:tcPr>
          <w:p w14:paraId="7EF1F5B6">
            <w:pPr>
              <w:pStyle w:val="27"/>
              <w:keepNext/>
              <w:spacing w:before="0" w:after="0" w:line="200" w:lineRule="atLeast"/>
              <w:jc w:val="center"/>
            </w:pPr>
            <w:r>
              <w:t>360</w:t>
            </w:r>
          </w:p>
        </w:tc>
        <w:tc>
          <w:tcPr>
            <w:tcW w:w="2239" w:type="dxa"/>
            <w:vAlign w:val="center"/>
          </w:tcPr>
          <w:p w14:paraId="236C51E3">
            <w:pPr>
              <w:pStyle w:val="27"/>
              <w:keepNext/>
              <w:spacing w:before="0" w:after="0" w:line="200" w:lineRule="atLeast"/>
              <w:jc w:val="left"/>
            </w:pPr>
            <w:r>
              <w:t>J2至J3的轴间距离</w:t>
            </w:r>
          </w:p>
        </w:tc>
      </w:tr>
      <w:tr w14:paraId="5909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237668D8">
            <w:pPr>
              <w:pStyle w:val="27"/>
              <w:keepNext/>
              <w:spacing w:before="0" w:after="0" w:line="200" w:lineRule="atLeast"/>
              <w:jc w:val="center"/>
            </w:pPr>
            <w:r>
              <w:t>link3</w:t>
            </w:r>
          </w:p>
        </w:tc>
        <w:tc>
          <w:tcPr>
            <w:tcW w:w="1259" w:type="dxa"/>
            <w:vAlign w:val="center"/>
          </w:tcPr>
          <w:p w14:paraId="10A0DCCC">
            <w:pPr>
              <w:pStyle w:val="27"/>
              <w:keepNext/>
              <w:spacing w:before="0" w:after="0" w:line="200" w:lineRule="atLeast"/>
              <w:jc w:val="center"/>
            </w:pPr>
            <w:r>
              <w:t>100</w:t>
            </w:r>
          </w:p>
        </w:tc>
        <w:tc>
          <w:tcPr>
            <w:tcW w:w="2239" w:type="dxa"/>
            <w:vAlign w:val="center"/>
          </w:tcPr>
          <w:p w14:paraId="064325AD">
            <w:pPr>
              <w:pStyle w:val="27"/>
              <w:keepNext/>
              <w:spacing w:before="0" w:after="0" w:line="200" w:lineRule="atLeast"/>
              <w:jc w:val="left"/>
            </w:pPr>
            <w:r>
              <w:t>J3至J4的轴向段</w:t>
            </w:r>
          </w:p>
        </w:tc>
      </w:tr>
      <w:tr w14:paraId="546B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4B607508">
            <w:pPr>
              <w:pStyle w:val="27"/>
              <w:keepNext/>
              <w:spacing w:before="0" w:after="0" w:line="200" w:lineRule="atLeast"/>
              <w:jc w:val="center"/>
            </w:pPr>
            <w:r>
              <w:t>link4</w:t>
            </w:r>
          </w:p>
        </w:tc>
        <w:tc>
          <w:tcPr>
            <w:tcW w:w="1259" w:type="dxa"/>
            <w:vAlign w:val="center"/>
          </w:tcPr>
          <w:p w14:paraId="4E76934A">
            <w:pPr>
              <w:pStyle w:val="27"/>
              <w:keepNext/>
              <w:spacing w:before="0" w:after="0" w:line="200" w:lineRule="atLeast"/>
              <w:jc w:val="center"/>
            </w:pPr>
            <w:r>
              <w:t>282</w:t>
            </w:r>
          </w:p>
        </w:tc>
        <w:tc>
          <w:tcPr>
            <w:tcW w:w="2239" w:type="dxa"/>
            <w:vAlign w:val="center"/>
          </w:tcPr>
          <w:p w14:paraId="35FD607D">
            <w:pPr>
              <w:pStyle w:val="27"/>
              <w:keepNext/>
              <w:spacing w:before="0" w:after="0" w:line="200" w:lineRule="atLeast"/>
              <w:jc w:val="left"/>
            </w:pPr>
            <w:r>
              <w:t>J4至J5，与link3同轴</w:t>
            </w:r>
          </w:p>
        </w:tc>
      </w:tr>
      <w:tr w14:paraId="14CC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39B76756">
            <w:pPr>
              <w:pStyle w:val="27"/>
              <w:keepNext/>
              <w:spacing w:before="0" w:after="0" w:line="200" w:lineRule="atLeast"/>
              <w:jc w:val="center"/>
            </w:pPr>
            <w:r>
              <w:t>link5</w:t>
            </w:r>
          </w:p>
        </w:tc>
        <w:tc>
          <w:tcPr>
            <w:tcW w:w="1259" w:type="dxa"/>
            <w:vAlign w:val="center"/>
          </w:tcPr>
          <w:p w14:paraId="4C0421F0">
            <w:pPr>
              <w:pStyle w:val="27"/>
              <w:keepNext/>
              <w:spacing w:before="0" w:after="0" w:line="200" w:lineRule="atLeast"/>
              <w:jc w:val="center"/>
            </w:pPr>
            <w:r>
              <w:t>54.5</w:t>
            </w:r>
          </w:p>
        </w:tc>
        <w:tc>
          <w:tcPr>
            <w:tcW w:w="2239" w:type="dxa"/>
            <w:vAlign w:val="center"/>
          </w:tcPr>
          <w:p w14:paraId="5596C9E8">
            <w:pPr>
              <w:pStyle w:val="27"/>
              <w:keepNext/>
              <w:spacing w:before="0" w:after="0" w:line="200" w:lineRule="atLeast"/>
              <w:jc w:val="left"/>
            </w:pPr>
            <w:r>
              <w:t>J5腕心至J6</w:t>
            </w:r>
          </w:p>
        </w:tc>
      </w:tr>
      <w:tr w14:paraId="1B0F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086FBB63">
            <w:pPr>
              <w:pStyle w:val="27"/>
              <w:keepNext/>
              <w:spacing w:before="0" w:after="0" w:line="200" w:lineRule="atLeast"/>
              <w:jc w:val="center"/>
            </w:pPr>
            <w:r>
              <w:t>link6</w:t>
            </w:r>
          </w:p>
        </w:tc>
        <w:tc>
          <w:tcPr>
            <w:tcW w:w="1259" w:type="dxa"/>
            <w:vAlign w:val="center"/>
          </w:tcPr>
          <w:p w14:paraId="41747E96">
            <w:pPr>
              <w:pStyle w:val="27"/>
              <w:keepNext/>
              <w:spacing w:before="0" w:after="0" w:line="200" w:lineRule="atLeast"/>
              <w:jc w:val="center"/>
            </w:pPr>
            <w:r>
              <w:t>162.3</w:t>
            </w:r>
          </w:p>
        </w:tc>
        <w:tc>
          <w:tcPr>
            <w:tcW w:w="2239" w:type="dxa"/>
            <w:vAlign w:val="center"/>
          </w:tcPr>
          <w:p w14:paraId="2D290E1F">
            <w:pPr>
              <w:pStyle w:val="27"/>
              <w:keepNext/>
              <w:spacing w:before="0" w:after="0" w:line="200" w:lineRule="atLeast"/>
              <w:jc w:val="left"/>
            </w:pPr>
            <w:r>
              <w:t>J6至夹爪最远端</w:t>
            </w:r>
          </w:p>
        </w:tc>
      </w:tr>
      <w:tr w14:paraId="3D69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5" w:type="dxa"/>
            <w:vAlign w:val="center"/>
          </w:tcPr>
          <w:p w14:paraId="3B208E6F">
            <w:pPr>
              <w:pStyle w:val="27"/>
              <w:spacing w:before="0" w:after="0" w:line="200" w:lineRule="atLeast"/>
              <w:jc w:val="center"/>
            </w:pPr>
            <w:r>
              <w:t>夹爪中心偏置</w:t>
            </w:r>
          </w:p>
        </w:tc>
        <w:tc>
          <w:tcPr>
            <w:tcW w:w="1259" w:type="dxa"/>
            <w:vAlign w:val="center"/>
          </w:tcPr>
          <w:p w14:paraId="6B051635">
            <w:pPr>
              <w:pStyle w:val="27"/>
              <w:spacing w:before="0" w:after="0" w:line="200" w:lineRule="atLeast"/>
              <w:jc w:val="center"/>
            </w:pPr>
            <w:r>
              <w:t>129.6</w:t>
            </w:r>
          </w:p>
        </w:tc>
        <w:tc>
          <w:tcPr>
            <w:tcW w:w="2239" w:type="dxa"/>
            <w:vAlign w:val="center"/>
          </w:tcPr>
          <w:p w14:paraId="3D31DFF2">
            <w:pPr>
              <w:pStyle w:val="27"/>
              <w:spacing w:before="0" w:after="0" w:line="200" w:lineRule="atLeast"/>
              <w:jc w:val="left"/>
            </w:pPr>
            <w:r>
              <w:t>J6至夹爪中心</w:t>
            </w:r>
          </w:p>
        </w:tc>
      </w:tr>
    </w:tbl>
    <w:p w14:paraId="062E5160">
      <w:pPr>
        <w:pStyle w:val="29"/>
        <w:keepNext/>
        <w:numPr>
          <w:ilvl w:val="0"/>
          <w:numId w:val="0"/>
        </w:numPr>
      </w:pPr>
      <w:r>
        <w:rPr>
          <w:lang w:eastAsia="zh-CN"/>
        </w:rPr>
        <w:t>表2机械臂关节角度范围</w:t>
      </w:r>
    </w:p>
    <w:tbl>
      <w:tblPr>
        <w:tblStyle w:val="10"/>
        <w:tblW w:w="50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5"/>
        <w:gridCol w:w="1679"/>
        <w:gridCol w:w="1959"/>
      </w:tblGrid>
      <w:tr w14:paraId="5644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95" w:type="dxa"/>
            <w:vAlign w:val="center"/>
          </w:tcPr>
          <w:p w14:paraId="39F476EA">
            <w:pPr>
              <w:pStyle w:val="25"/>
              <w:keepNext/>
              <w:spacing w:before="0" w:after="0" w:line="200" w:lineRule="atLeast"/>
              <w:jc w:val="center"/>
            </w:pPr>
            <w:r>
              <w:t>关节或角度</w:t>
            </w:r>
          </w:p>
        </w:tc>
        <w:tc>
          <w:tcPr>
            <w:tcW w:w="1679" w:type="dxa"/>
            <w:vAlign w:val="center"/>
          </w:tcPr>
          <w:p w14:paraId="7282BAD5">
            <w:pPr>
              <w:pStyle w:val="25"/>
              <w:keepNext/>
              <w:spacing w:before="0" w:after="0" w:line="200" w:lineRule="atLeast"/>
              <w:jc w:val="center"/>
            </w:pPr>
            <w:r>
              <w:t>设计范围</w:t>
            </w:r>
          </w:p>
        </w:tc>
        <w:tc>
          <w:tcPr>
            <w:tcW w:w="1959" w:type="dxa"/>
            <w:vAlign w:val="center"/>
          </w:tcPr>
          <w:p w14:paraId="1C4676B1">
            <w:pPr>
              <w:pStyle w:val="25"/>
              <w:keepNext/>
              <w:spacing w:before="0" w:after="0" w:line="200" w:lineRule="atLeast"/>
              <w:jc w:val="center"/>
            </w:pPr>
            <w:r>
              <w:t>定义</w:t>
            </w:r>
          </w:p>
        </w:tc>
      </w:tr>
      <w:tr w14:paraId="00FE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0DC3F9CC">
            <w:pPr>
              <w:pStyle w:val="27"/>
              <w:keepNext/>
              <w:spacing w:before="0" w:after="0" w:line="200" w:lineRule="atLeast"/>
              <w:jc w:val="center"/>
            </w:pPr>
            <w:r>
              <w:t>J1</w:t>
            </w:r>
          </w:p>
        </w:tc>
        <w:tc>
          <w:tcPr>
            <w:tcW w:w="1679" w:type="dxa"/>
            <w:vAlign w:val="center"/>
          </w:tcPr>
          <w:p w14:paraId="3252AEBF">
            <w:pPr>
              <w:pStyle w:val="27"/>
              <w:keepNext/>
              <w:spacing w:before="0" w:after="0" w:line="200" w:lineRule="atLeast"/>
              <w:jc w:val="center"/>
            </w:pPr>
            <w:r>
              <w:t>0°～360°</w:t>
            </w:r>
          </w:p>
        </w:tc>
        <w:tc>
          <w:tcPr>
            <w:tcW w:w="1959" w:type="dxa"/>
            <w:vAlign w:val="center"/>
          </w:tcPr>
          <w:p w14:paraId="2906B299">
            <w:pPr>
              <w:pStyle w:val="27"/>
              <w:keepNext/>
              <w:spacing w:before="0" w:after="0" w:line="200" w:lineRule="atLeast"/>
              <w:jc w:val="left"/>
            </w:pPr>
            <w:r>
              <w:t>基座回转</w:t>
            </w:r>
          </w:p>
        </w:tc>
      </w:tr>
      <w:tr w14:paraId="5058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3C18907E">
            <w:pPr>
              <w:pStyle w:val="27"/>
              <w:keepNext/>
              <w:spacing w:before="0" w:after="0" w:line="200" w:lineRule="atLeast"/>
              <w:jc w:val="center"/>
            </w:pPr>
            <w:r>
              <w:t>J2</w:t>
            </w:r>
          </w:p>
        </w:tc>
        <w:tc>
          <w:tcPr>
            <w:tcW w:w="1679" w:type="dxa"/>
            <w:vAlign w:val="center"/>
          </w:tcPr>
          <w:p w14:paraId="156C10DD">
            <w:pPr>
              <w:pStyle w:val="27"/>
              <w:keepNext/>
              <w:spacing w:before="0" w:after="0" w:line="200" w:lineRule="atLeast"/>
              <w:jc w:val="center"/>
            </w:pPr>
            <w:r>
              <w:t>10.91°～135°</w:t>
            </w:r>
          </w:p>
        </w:tc>
        <w:tc>
          <w:tcPr>
            <w:tcW w:w="1959" w:type="dxa"/>
            <w:vAlign w:val="center"/>
          </w:tcPr>
          <w:p w14:paraId="6DCF9A1E">
            <w:pPr>
              <w:pStyle w:val="27"/>
              <w:keepNext/>
              <w:spacing w:before="0" w:after="0" w:line="200" w:lineRule="atLeast"/>
              <w:jc w:val="left"/>
            </w:pPr>
            <w:r>
              <w:rPr>
                <w:lang w:eastAsia="zh-CN"/>
              </w:rPr>
              <w:t>大臂相对模型水平基准的俯仰角</w:t>
            </w:r>
          </w:p>
        </w:tc>
      </w:tr>
      <w:tr w14:paraId="1E2B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67B65521">
            <w:pPr>
              <w:pStyle w:val="27"/>
              <w:keepNext/>
              <w:spacing w:before="0" w:after="0" w:line="200" w:lineRule="atLeast"/>
              <w:jc w:val="center"/>
            </w:pPr>
            <w:r>
              <w:t>J3肘内角α</w:t>
            </w:r>
          </w:p>
        </w:tc>
        <w:tc>
          <w:tcPr>
            <w:tcW w:w="1679" w:type="dxa"/>
            <w:vAlign w:val="center"/>
          </w:tcPr>
          <w:p w14:paraId="58ECC7BA">
            <w:pPr>
              <w:pStyle w:val="27"/>
              <w:keepNext/>
              <w:spacing w:before="0" w:after="0" w:line="200" w:lineRule="atLeast"/>
              <w:jc w:val="center"/>
            </w:pPr>
            <w:r>
              <w:t>20.76°～144.76°</w:t>
            </w:r>
          </w:p>
        </w:tc>
        <w:tc>
          <w:tcPr>
            <w:tcW w:w="1959" w:type="dxa"/>
            <w:vAlign w:val="center"/>
          </w:tcPr>
          <w:p w14:paraId="0EB70443">
            <w:pPr>
              <w:pStyle w:val="27"/>
              <w:keepNext/>
              <w:spacing w:before="0" w:after="0" w:line="200" w:lineRule="atLeast"/>
              <w:jc w:val="left"/>
            </w:pPr>
            <w:r>
              <w:rPr>
                <w:lang w:eastAsia="zh-CN"/>
              </w:rPr>
              <w:t>伸直状态为180°，并受J2联动约束</w:t>
            </w:r>
          </w:p>
        </w:tc>
      </w:tr>
      <w:tr w14:paraId="7B9F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7C92B488">
            <w:pPr>
              <w:pStyle w:val="27"/>
              <w:keepNext/>
              <w:spacing w:before="0" w:after="0" w:line="200" w:lineRule="atLeast"/>
              <w:jc w:val="center"/>
            </w:pPr>
            <w:r>
              <w:t>J4</w:t>
            </w:r>
          </w:p>
        </w:tc>
        <w:tc>
          <w:tcPr>
            <w:tcW w:w="1679" w:type="dxa"/>
            <w:vAlign w:val="center"/>
          </w:tcPr>
          <w:p w14:paraId="2324B93F">
            <w:pPr>
              <w:pStyle w:val="27"/>
              <w:keepNext/>
              <w:spacing w:before="0" w:after="0" w:line="200" w:lineRule="atLeast"/>
              <w:jc w:val="center"/>
            </w:pPr>
            <w:r>
              <w:t>0°～360°</w:t>
            </w:r>
          </w:p>
        </w:tc>
        <w:tc>
          <w:tcPr>
            <w:tcW w:w="1959" w:type="dxa"/>
            <w:vAlign w:val="center"/>
          </w:tcPr>
          <w:p w14:paraId="52E378D5">
            <w:pPr>
              <w:pStyle w:val="27"/>
              <w:keepNext/>
              <w:spacing w:before="0" w:after="0" w:line="200" w:lineRule="atLeast"/>
              <w:jc w:val="left"/>
            </w:pPr>
            <w:r>
              <w:t>绕前臂轴滚转</w:t>
            </w:r>
          </w:p>
        </w:tc>
      </w:tr>
      <w:tr w14:paraId="1FB8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2C3819F9">
            <w:pPr>
              <w:pStyle w:val="27"/>
              <w:keepNext/>
              <w:spacing w:before="0" w:after="0" w:line="200" w:lineRule="atLeast"/>
              <w:jc w:val="center"/>
            </w:pPr>
            <w:r>
              <w:t>J5</w:t>
            </w:r>
          </w:p>
        </w:tc>
        <w:tc>
          <w:tcPr>
            <w:tcW w:w="1679" w:type="dxa"/>
            <w:vAlign w:val="center"/>
          </w:tcPr>
          <w:p w14:paraId="7F4937A6">
            <w:pPr>
              <w:pStyle w:val="27"/>
              <w:keepNext/>
              <w:spacing w:before="0" w:after="0" w:line="200" w:lineRule="atLeast"/>
              <w:jc w:val="center"/>
            </w:pPr>
            <w:r>
              <w:t>−125°～125°</w:t>
            </w:r>
          </w:p>
        </w:tc>
        <w:tc>
          <w:tcPr>
            <w:tcW w:w="1959" w:type="dxa"/>
            <w:vAlign w:val="center"/>
          </w:tcPr>
          <w:p w14:paraId="36E8E579">
            <w:pPr>
              <w:pStyle w:val="27"/>
              <w:keepNext/>
              <w:spacing w:before="0" w:after="0" w:line="200" w:lineRule="atLeast"/>
              <w:jc w:val="left"/>
            </w:pPr>
            <w:r>
              <w:t>腕部俯仰</w:t>
            </w:r>
          </w:p>
        </w:tc>
      </w:tr>
      <w:tr w14:paraId="05A2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5" w:type="dxa"/>
            <w:vAlign w:val="center"/>
          </w:tcPr>
          <w:p w14:paraId="774AE366">
            <w:pPr>
              <w:pStyle w:val="27"/>
              <w:spacing w:before="0" w:after="0" w:line="200" w:lineRule="atLeast"/>
              <w:jc w:val="center"/>
            </w:pPr>
            <w:r>
              <w:t>J6</w:t>
            </w:r>
          </w:p>
        </w:tc>
        <w:tc>
          <w:tcPr>
            <w:tcW w:w="1679" w:type="dxa"/>
            <w:vAlign w:val="center"/>
          </w:tcPr>
          <w:p w14:paraId="0F02C01C">
            <w:pPr>
              <w:pStyle w:val="27"/>
              <w:spacing w:before="0" w:after="0" w:line="200" w:lineRule="atLeast"/>
              <w:jc w:val="center"/>
            </w:pPr>
            <w:r>
              <w:t>0°～360°</w:t>
            </w:r>
          </w:p>
        </w:tc>
        <w:tc>
          <w:tcPr>
            <w:tcW w:w="1959" w:type="dxa"/>
            <w:vAlign w:val="center"/>
          </w:tcPr>
          <w:p w14:paraId="7790B5FB">
            <w:pPr>
              <w:pStyle w:val="27"/>
              <w:spacing w:before="0" w:after="0" w:line="200" w:lineRule="atLeast"/>
              <w:jc w:val="left"/>
            </w:pPr>
            <w:r>
              <w:t>绕工具轴滚转</w:t>
            </w:r>
          </w:p>
        </w:tc>
      </w:tr>
    </w:tbl>
    <w:p w14:paraId="3A52771A">
      <w:pPr>
        <w:pStyle w:val="7"/>
        <w:spacing w:before="120"/>
      </w:pPr>
      <w:r>
        <w:rPr>
          <w:lang w:eastAsia="zh-CN"/>
        </w:rPr>
        <w:t>机械臂主体使用碳纤维板拼接与铝制加工件连接构成，J2设置铝方管连杆参与限位，J2与J3构成联动条件：</w:t>
      </w:r>
      <w:r>
        <w:rPr>
          <w:rFonts w:ascii="Times New Roman" w:hAnsi="Times New Roman" w:eastAsia="宋体" w:cs="Times New Roman"/>
          <w:spacing w:val="-1"/>
          <w:lang w:val="en-US" w:eastAsia="zh-CN" w:bidi="ar-SA"/>
        </w:rPr>
        <w:t>10.91°≤</w:t>
      </w:r>
      <m:oMath>
        <m:sSub>
          <m:sSubPr>
            <m:ctrlPr>
              <w:rPr>
                <w:rFonts w:hint="default" w:ascii="Cambria Math" w:hAnsi="Cambria Math" w:eastAsia="宋体" w:cs="Times New Roman"/>
                <w:spacing w:val="-1"/>
                <w:lang w:val="zh-CN" w:eastAsia="zh-CN" w:bidi="ar-SA"/>
              </w:rPr>
            </m:ctrlPr>
          </m:sSubPr>
          <m:e>
            <m:r>
              <m:rPr>
                <m:sty m:val="p"/>
              </m:rPr>
              <w:rPr>
                <w:rFonts w:hint="default" w:ascii="Times New Roman" w:hAnsi="Times New Roman" w:eastAsia="宋体" w:cs="Times New Roman"/>
                <w:spacing w:val="-1"/>
                <w:lang w:val="zh-CN" w:eastAsia="zh-CN" w:bidi="ar-SA"/>
              </w:rPr>
              <m:t>q</m:t>
            </m:r>
            <m:ctrlPr>
              <w:rPr>
                <w:rFonts w:hint="default" w:ascii="Cambria Math" w:hAnsi="Cambria Math" w:eastAsia="宋体" w:cs="Times New Roman"/>
                <w:spacing w:val="-1"/>
                <w:lang w:val="zh-CN" w:eastAsia="zh-CN" w:bidi="ar-SA"/>
              </w:rPr>
            </m:ctrlPr>
          </m:e>
          <m:sub>
            <m:r>
              <m:rPr>
                <m:sty m:val="p"/>
              </m:rPr>
              <w:rPr>
                <w:rFonts w:hint="default" w:ascii="Times New Roman" w:hAnsi="Times New Roman" w:eastAsia="宋体" w:cs="Times New Roman"/>
                <w:spacing w:val="-1"/>
                <w:lang w:val="zh-CN" w:eastAsia="zh-CN" w:bidi="ar-SA"/>
              </w:rPr>
              <m:t>2</m:t>
            </m:r>
            <m:ctrlPr>
              <w:rPr>
                <w:rFonts w:hint="default" w:ascii="Cambria Math" w:hAnsi="Cambria Math" w:eastAsia="宋体" w:cs="Times New Roman"/>
                <w:spacing w:val="-1"/>
                <w:lang w:val="zh-CN" w:eastAsia="zh-CN" w:bidi="ar-SA"/>
              </w:rPr>
            </m:ctrlPr>
          </m:sub>
        </m:sSub>
      </m:oMath>
      <w:r>
        <w:rPr>
          <w:rFonts w:ascii="Times New Roman" w:hAnsi="Times New Roman" w:eastAsia="宋体" w:cs="Times New Roman"/>
          <w:spacing w:val="-1"/>
          <w:lang w:val="en-US" w:eastAsia="zh-CN" w:bidi="ar-SA"/>
        </w:rPr>
        <w:t>≤135°，20.7555°≤</w:t>
      </w:r>
      <m:oMath>
        <m:r>
          <m:rPr>
            <m:sty m:val="p"/>
          </m:rPr>
          <w:rPr>
            <w:rFonts w:hint="default" w:ascii="Times New Roman" w:hAnsi="Times New Roman" w:eastAsia="宋体" w:cs="Times New Roman"/>
            <w:spacing w:val="-1"/>
            <w:lang w:val="zh-CN" w:eastAsia="zh-CN" w:bidi="ar-SA"/>
          </w:rPr>
          <m:t>α</m:t>
        </m:r>
      </m:oMath>
      <w:r>
        <w:rPr>
          <w:rFonts w:ascii="Times New Roman" w:hAnsi="Times New Roman" w:eastAsia="宋体" w:cs="Times New Roman"/>
          <w:spacing w:val="-1"/>
          <w:lang w:val="en-US" w:eastAsia="zh-CN" w:bidi="ar-SA"/>
        </w:rPr>
        <w:t xml:space="preserve">≤min(144.7555°, </w:t>
      </w:r>
      <m:oMath>
        <m:sSub>
          <m:sSubPr>
            <m:ctrlPr>
              <w:rPr>
                <w:rFonts w:hint="default" w:ascii="Cambria Math" w:hAnsi="Cambria Math" w:eastAsia="宋体" w:cs="Times New Roman"/>
                <w:spacing w:val="-1"/>
                <w:lang w:val="zh-CN" w:eastAsia="zh-CN" w:bidi="ar-SA"/>
              </w:rPr>
            </m:ctrlPr>
          </m:sSubPr>
          <m:e>
            <m:r>
              <m:rPr>
                <m:sty m:val="p"/>
              </m:rPr>
              <w:rPr>
                <w:rFonts w:hint="default" w:ascii="Times New Roman" w:hAnsi="Times New Roman" w:eastAsia="宋体" w:cs="Times New Roman"/>
                <w:spacing w:val="-1"/>
                <w:lang w:val="zh-CN" w:eastAsia="zh-CN" w:bidi="ar-SA"/>
              </w:rPr>
              <m:t>q</m:t>
            </m:r>
            <m:ctrlPr>
              <w:rPr>
                <w:rFonts w:hint="default" w:ascii="Cambria Math" w:hAnsi="Cambria Math" w:eastAsia="宋体" w:cs="Times New Roman"/>
                <w:spacing w:val="-1"/>
                <w:lang w:val="zh-CN" w:eastAsia="zh-CN" w:bidi="ar-SA"/>
              </w:rPr>
            </m:ctrlPr>
          </m:e>
          <m:sub>
            <m:r>
              <m:rPr>
                <m:sty m:val="p"/>
              </m:rPr>
              <w:rPr>
                <w:rFonts w:hint="default" w:ascii="Times New Roman" w:hAnsi="Times New Roman" w:eastAsia="宋体" w:cs="Times New Roman"/>
                <w:spacing w:val="-1"/>
                <w:lang w:val="zh-CN" w:eastAsia="zh-CN" w:bidi="ar-SA"/>
              </w:rPr>
              <m:t>2</m:t>
            </m:r>
            <m:ctrlPr>
              <w:rPr>
                <w:rFonts w:hint="default" w:ascii="Cambria Math" w:hAnsi="Cambria Math" w:eastAsia="宋体" w:cs="Times New Roman"/>
                <w:spacing w:val="-1"/>
                <w:lang w:val="zh-CN" w:eastAsia="zh-CN" w:bidi="ar-SA"/>
              </w:rPr>
            </m:ctrlPr>
          </m:sub>
        </m:sSub>
      </m:oMath>
      <w:r>
        <w:rPr>
          <w:rFonts w:ascii="Times New Roman" w:hAnsi="Times New Roman" w:eastAsia="宋体" w:cs="Times New Roman"/>
          <w:spacing w:val="-1"/>
          <w:lang w:val="en-US" w:eastAsia="zh-CN" w:bidi="ar-SA"/>
        </w:rPr>
        <w:t>＋9.8455°)，</w:t>
      </w:r>
      <w:r>
        <w:rPr>
          <w:rFonts w:hint="eastAsia" w:ascii="Times New Roman" w:hAnsi="Times New Roman" w:eastAsia="宋体" w:cs="Times New Roman"/>
          <w:spacing w:val="-1"/>
          <w:lang w:val="en-US" w:eastAsia="zh-CN" w:bidi="ar-SA"/>
        </w:rPr>
        <w:t>其中</w:t>
      </w:r>
      <m:oMath>
        <m:sSub>
          <m:sSubPr>
            <m:ctrlPr>
              <w:rPr>
                <w:rFonts w:hint="default" w:ascii="Cambria Math" w:hAnsi="Cambria Math" w:eastAsia="宋体" w:cs="Times New Roman"/>
                <w:spacing w:val="-1"/>
                <w:lang w:val="zh-CN" w:eastAsia="zh-CN" w:bidi="ar-SA"/>
              </w:rPr>
            </m:ctrlPr>
          </m:sSubPr>
          <m:e>
            <m:r>
              <m:rPr>
                <m:sty m:val="p"/>
              </m:rPr>
              <w:rPr>
                <w:rFonts w:hint="default" w:ascii="Times New Roman" w:hAnsi="Times New Roman" w:eastAsia="宋体" w:cs="Times New Roman"/>
                <w:spacing w:val="-1"/>
                <w:lang w:val="zh-CN" w:eastAsia="zh-CN" w:bidi="ar-SA"/>
              </w:rPr>
              <m:t>q</m:t>
            </m:r>
            <m:ctrlPr>
              <w:rPr>
                <w:rFonts w:hint="default" w:ascii="Cambria Math" w:hAnsi="Cambria Math" w:eastAsia="宋体" w:cs="Times New Roman"/>
                <w:spacing w:val="-1"/>
                <w:lang w:val="zh-CN" w:eastAsia="zh-CN" w:bidi="ar-SA"/>
              </w:rPr>
            </m:ctrlPr>
          </m:e>
          <m:sub>
            <m:r>
              <m:rPr>
                <m:sty m:val="p"/>
              </m:rPr>
              <w:rPr>
                <w:rFonts w:hint="default" w:ascii="Times New Roman" w:hAnsi="Times New Roman" w:eastAsia="宋体" w:cs="Times New Roman"/>
                <w:spacing w:val="-1"/>
                <w:lang w:val="zh-CN" w:eastAsia="zh-CN" w:bidi="ar-SA"/>
              </w:rPr>
              <m:t>2</m:t>
            </m:r>
            <m:ctrlPr>
              <w:rPr>
                <w:rFonts w:hint="default" w:ascii="Cambria Math" w:hAnsi="Cambria Math" w:eastAsia="宋体" w:cs="Times New Roman"/>
                <w:spacing w:val="-1"/>
                <w:lang w:val="zh-CN" w:eastAsia="zh-CN" w:bidi="ar-SA"/>
              </w:rPr>
            </m:ctrlPr>
          </m:sub>
        </m:sSub>
      </m:oMath>
      <w:r>
        <w:rPr>
          <w:rFonts w:hint="eastAsia" w:ascii="Times New Roman" w:hAnsi="Times New Roman" w:eastAsia="宋体" w:cs="Times New Roman"/>
          <w:spacing w:val="-1"/>
          <w:lang w:val="en-US" w:eastAsia="zh-CN" w:bidi="ar-SA"/>
        </w:rPr>
        <w:t>表示机械臂J2关节对应的大臂相对模型水平基准的俯仰角，</w:t>
      </w:r>
      <m:oMath>
        <m:r>
          <m:rPr>
            <m:sty m:val="p"/>
          </m:rPr>
          <w:rPr>
            <w:rFonts w:hint="default" w:ascii="Times New Roman" w:hAnsi="Times New Roman" w:eastAsia="宋体" w:cs="Times New Roman"/>
            <w:spacing w:val="-1"/>
            <w:lang w:val="zh-CN" w:eastAsia="zh-CN" w:bidi="ar-SA"/>
          </w:rPr>
          <m:t>α</m:t>
        </m:r>
      </m:oMath>
      <w:r>
        <w:rPr>
          <w:rFonts w:hint="eastAsia" w:ascii="Times New Roman" w:hAnsi="Times New Roman" w:eastAsia="宋体" w:cs="Times New Roman"/>
          <w:spacing w:val="-1"/>
          <w:lang w:val="en-US" w:eastAsia="zh-CN" w:bidi="ar-SA"/>
        </w:rPr>
        <w:t xml:space="preserve">表示机械臂J3处的肘内角，机械臂伸直时 </w:t>
      </w:r>
      <m:oMath>
        <m:r>
          <m:rPr>
            <m:sty m:val="p"/>
          </m:rPr>
          <w:rPr>
            <w:rFonts w:hint="default" w:ascii="Times New Roman" w:hAnsi="Times New Roman" w:eastAsia="宋体" w:cs="Times New Roman"/>
            <w:spacing w:val="-1"/>
            <w:lang w:val="zh-CN" w:eastAsia="zh-CN" w:bidi="ar-SA"/>
          </w:rPr>
          <m:t>α=18</m:t>
        </m:r>
        <m:sSup>
          <m:sSupPr>
            <m:ctrlPr>
              <w:rPr>
                <w:rFonts w:hint="default" w:ascii="Cambria Math" w:hAnsi="Cambria Math" w:eastAsia="宋体" w:cs="Times New Roman"/>
                <w:spacing w:val="-1"/>
                <w:lang w:val="zh-CN" w:eastAsia="zh-CN" w:bidi="ar-SA"/>
              </w:rPr>
            </m:ctrlPr>
          </m:sSupPr>
          <m:e>
            <m:r>
              <m:rPr>
                <m:sty m:val="p"/>
              </m:rPr>
              <w:rPr>
                <w:rFonts w:hint="default" w:ascii="Times New Roman" w:hAnsi="Times New Roman" w:eastAsia="宋体" w:cs="Times New Roman"/>
                <w:spacing w:val="-1"/>
                <w:lang w:val="zh-CN" w:eastAsia="zh-CN" w:bidi="ar-SA"/>
              </w:rPr>
              <m:t>0</m:t>
            </m:r>
            <m:ctrlPr>
              <w:rPr>
                <w:rFonts w:hint="default" w:ascii="Cambria Math" w:hAnsi="Cambria Math" w:eastAsia="宋体" w:cs="Times New Roman"/>
                <w:spacing w:val="-1"/>
                <w:lang w:val="zh-CN" w:eastAsia="zh-CN" w:bidi="ar-SA"/>
              </w:rPr>
            </m:ctrlPr>
          </m:e>
          <m:sup>
            <m:r>
              <m:rPr>
                <m:sty m:val="p"/>
              </m:rPr>
              <w:rPr>
                <w:rFonts w:hint="default" w:ascii="Times New Roman" w:hAnsi="Times New Roman" w:eastAsia="宋体" w:cs="Times New Roman"/>
                <w:spacing w:val="-1"/>
                <w:lang w:val="zh-CN" w:eastAsia="zh-CN" w:bidi="ar-SA"/>
              </w:rPr>
              <m:t>∘</m:t>
            </m:r>
            <m:ctrlPr>
              <w:rPr>
                <w:rFonts w:hint="default" w:ascii="Cambria Math" w:hAnsi="Cambria Math" w:eastAsia="宋体" w:cs="Times New Roman"/>
                <w:spacing w:val="-1"/>
                <w:lang w:val="zh-CN" w:eastAsia="zh-CN" w:bidi="ar-SA"/>
              </w:rPr>
            </m:ctrlPr>
          </m:sup>
        </m:sSup>
      </m:oMath>
      <w:r>
        <w:rPr>
          <w:rFonts w:hint="eastAsia" w:ascii="Times New Roman" w:hAnsi="Times New Roman" w:eastAsia="宋体" w:cs="Times New Roman"/>
          <w:spacing w:val="-1"/>
          <w:lang w:val="en-US" w:eastAsia="zh-CN" w:bidi="ar-SA"/>
        </w:rPr>
        <w:t>；</w:t>
      </w:r>
      <w:r>
        <w:rPr>
          <w:lang w:eastAsia="zh-CN"/>
        </w:rPr>
        <w:t>J1、J4、J6多个关节采用齿轮传动设计；为保证机械结构稳定性，减小装配误差，机械臂大量采用双侧支承设计和榫卯连接，整体结构见图1，关节与关键点定义见图7。</w:t>
      </w:r>
    </w:p>
    <w:p w14:paraId="3D825660">
      <w:pPr>
        <w:pStyle w:val="7"/>
      </w:pPr>
      <w:r>
        <w:rPr>
          <w:lang w:eastAsia="zh-CN"/>
        </w:rPr>
        <w:t>在不考虑实体碰撞的情况下，以上臂长参数经三维建模和仿真计算，在采用J1底部中心为原点、Z轴向上的坐标系中，腕心W、夹爪中心C和最远端T三个关键点的工作空间采样点云图如图8所示。其中夹爪中心的位置可达区域可用一外半径随高度变化、部分高度存在轴心不可达区的回转体近似，如图9所示。结合四轮足底盘升降，还可以通过改变机械臂基座在世界坐标系中的位置，进一步扩大整机末端位置覆盖范围。</w:t>
      </w:r>
    </w:p>
    <w:p w14:paraId="4C38740C">
      <w:pPr>
        <w:pStyle w:val="7"/>
      </w:pPr>
      <w:r>
        <w:rPr>
          <w:lang w:eastAsia="zh-CN"/>
        </w:rPr>
        <w:t>机械臂三维建模与工作空间分析如图7—图9所示。</w:t>
      </w:r>
    </w:p>
    <w:p w14:paraId="248CCD0B">
      <w:pPr>
        <w:keepNext/>
        <w:keepLines/>
        <w:spacing w:before="60" w:after="0"/>
        <w:ind w:firstLine="0"/>
        <w:jc w:val="center"/>
      </w:pPr>
      <w:r>
        <w:drawing>
          <wp:inline distT="0" distB="0" distL="114300" distR="114300">
            <wp:extent cx="3186430" cy="206692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186430" cy="2066925"/>
                    </a:xfrm>
                    <a:prstGeom prst="rect">
                      <a:avLst/>
                    </a:prstGeom>
                    <a:noFill/>
                    <a:ln>
                      <a:noFill/>
                    </a:ln>
                  </pic:spPr>
                </pic:pic>
              </a:graphicData>
            </a:graphic>
          </wp:inline>
        </w:drawing>
      </w:r>
    </w:p>
    <w:p w14:paraId="2CC8BBAA">
      <w:pPr>
        <w:pStyle w:val="19"/>
        <w:numPr>
          <w:ilvl w:val="0"/>
          <w:numId w:val="0"/>
        </w:numPr>
      </w:pPr>
      <w:r>
        <w:rPr>
          <w:lang w:eastAsia="zh-CN"/>
        </w:rPr>
        <w:t>图7</w:t>
      </w:r>
      <w:r>
        <w:rPr>
          <w:rFonts w:hint="eastAsia"/>
          <w:lang w:val="en-US" w:eastAsia="zh-CN"/>
        </w:rPr>
        <w:t xml:space="preserve"> </w:t>
      </w:r>
      <w:r>
        <w:rPr>
          <w:lang w:eastAsia="zh-CN"/>
        </w:rPr>
        <w:t>六自由度机械臂的三维结构与三个关键点：W为J5腕心，C为夹爪中心，T为夹爪最远端。</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2</m:t>
            </m:r>
            <m:ctrlPr>
              <w:rPr>
                <w:rFonts w:hint="default" w:ascii="Cambria Math"/>
              </w:rPr>
            </m:ctrlPr>
          </m:sub>
        </m:sSub>
      </m:oMath>
      <w:r>
        <w:rPr>
          <w:rFonts w:ascii="Times New Roman" w:hAnsi="Times New Roman" w:eastAsia="宋体" w:cs="Times New Roman"/>
          <w:spacing w:val="-1"/>
          <w:lang w:val="zh-CN" w:eastAsia="zh-CN" w:bidi="ar-SA"/>
        </w:rPr>
        <w:t>、</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3</m:t>
            </m:r>
            <m:ctrlPr>
              <w:rPr>
                <w:rFonts w:hint="default" w:ascii="Cambria Math"/>
              </w:rPr>
            </m:ctrlPr>
          </m:sub>
        </m:sSub>
      </m:oMath>
      <w:r>
        <w:rPr>
          <w:rFonts w:ascii="Times New Roman" w:hAnsi="Times New Roman" w:eastAsia="宋体" w:cs="Times New Roman"/>
          <w:spacing w:val="-1"/>
          <w:lang w:val="zh-CN" w:eastAsia="zh-CN" w:bidi="ar-SA"/>
        </w:rPr>
        <w:t xml:space="preserve"> 分别为J2、J3关节中心，A、B为辅助闭环两侧短杆的末端铰点，</w:t>
      </w:r>
      <w:r>
        <w:rPr>
          <w:rFonts w:hint="eastAsia" w:cs="Times New Roman"/>
          <w:spacing w:val="-1"/>
          <w:lang w:val="en-US" w:eastAsia="zh-CN" w:bidi="ar-SA"/>
        </w:rPr>
        <w:t>图中指J2、J3的实际闭环模型为</w:t>
      </w:r>
      <w:r>
        <w:rPr>
          <w:rFonts w:ascii="Times New Roman" w:hAnsi="Times New Roman" w:eastAsia="宋体" w:cs="Times New Roman"/>
          <w:spacing w:val="-1"/>
          <w:lang w:val="zh-CN" w:eastAsia="zh-CN" w:bidi="ar-SA"/>
        </w:rPr>
        <w:t>四点构成</w:t>
      </w:r>
      <w:r>
        <w:rPr>
          <w:rFonts w:hint="eastAsia" w:cs="Times New Roman"/>
          <w:spacing w:val="-1"/>
          <w:lang w:val="en-US" w:eastAsia="zh-CN" w:bidi="ar-SA"/>
        </w:rPr>
        <w:t>的</w:t>
      </w:r>
      <w:r>
        <w:rPr>
          <w:rFonts w:ascii="Times New Roman" w:hAnsi="Times New Roman" w:eastAsia="宋体" w:cs="Times New Roman"/>
          <w:spacing w:val="-1"/>
          <w:lang w:val="zh-CN" w:eastAsia="zh-CN" w:bidi="ar-SA"/>
        </w:rPr>
        <w:t xml:space="preserve"> </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−A−B−</m:t>
        </m:r>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3</m:t>
            </m:r>
            <m:ctrlPr>
              <w:rPr>
                <w:rFonts w:hint="default" w:ascii="Cambria Math"/>
              </w:rPr>
            </m:ctrlPr>
          </m:sub>
        </m:sSub>
      </m:oMath>
      <w:r>
        <w:rPr>
          <w:rFonts w:ascii="Times New Roman" w:hAnsi="Times New Roman" w:eastAsia="宋体" w:cs="Times New Roman"/>
          <w:spacing w:val="-1"/>
          <w:lang w:val="zh-CN" w:eastAsia="zh-CN" w:bidi="ar-SA"/>
        </w:rPr>
        <w:t xml:space="preserve"> 平行四边形</w:t>
      </w:r>
      <w:r>
        <w:rPr>
          <w:rFonts w:hint="eastAsia" w:cs="Times New Roman"/>
          <w:spacing w:val="-1"/>
          <w:lang w:val="zh-CN" w:eastAsia="zh-CN" w:bidi="ar-SA"/>
        </w:rPr>
        <w:t>。</w:t>
      </w:r>
    </w:p>
    <w:p w14:paraId="0FC62C59">
      <w:pPr>
        <w:keepNext/>
        <w:keepLines/>
        <w:spacing w:before="60" w:after="0"/>
        <w:ind w:firstLine="0"/>
        <w:jc w:val="center"/>
      </w:pPr>
      <w:r>
        <w:drawing>
          <wp:inline distT="0" distB="0" distL="114300" distR="114300">
            <wp:extent cx="3195320" cy="1652905"/>
            <wp:effectExtent l="0" t="0" r="508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195320" cy="1652905"/>
                    </a:xfrm>
                    <a:prstGeom prst="rect">
                      <a:avLst/>
                    </a:prstGeom>
                    <a:noFill/>
                    <a:ln>
                      <a:noFill/>
                    </a:ln>
                  </pic:spPr>
                </pic:pic>
              </a:graphicData>
            </a:graphic>
          </wp:inline>
        </w:drawing>
      </w:r>
    </w:p>
    <w:p w14:paraId="20453F43">
      <w:pPr>
        <w:pStyle w:val="19"/>
        <w:numPr>
          <w:ilvl w:val="0"/>
          <w:numId w:val="0"/>
        </w:numPr>
      </w:pPr>
      <w:r>
        <w:rPr>
          <w:lang w:eastAsia="zh-CN"/>
        </w:rPr>
        <w:t>图8</w:t>
      </w:r>
      <w:r>
        <w:rPr>
          <w:rFonts w:hint="eastAsia"/>
          <w:lang w:val="en-US" w:eastAsia="zh-CN"/>
        </w:rPr>
        <w:t xml:space="preserve"> </w:t>
      </w:r>
      <w:r>
        <w:rPr>
          <w:lang w:eastAsia="zh-CN"/>
        </w:rPr>
        <w:t>机械臂三个关键点的位置工作空间：左、中、右依次为J5腕心、夹爪中心和夹爪最远端；上排为三维采样点云，下排为径向–高度投影。</w:t>
      </w:r>
    </w:p>
    <w:p w14:paraId="7BE2D355">
      <w:pPr>
        <w:keepNext/>
        <w:keepLines/>
        <w:spacing w:before="60" w:after="0"/>
        <w:ind w:firstLine="0"/>
        <w:jc w:val="center"/>
      </w:pPr>
      <w:r>
        <w:drawing>
          <wp:inline distT="0" distB="0" distL="114300" distR="114300">
            <wp:extent cx="3190875" cy="1570990"/>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3190875" cy="1570990"/>
                    </a:xfrm>
                    <a:prstGeom prst="rect">
                      <a:avLst/>
                    </a:prstGeom>
                    <a:noFill/>
                    <a:ln>
                      <a:noFill/>
                    </a:ln>
                  </pic:spPr>
                </pic:pic>
              </a:graphicData>
            </a:graphic>
          </wp:inline>
        </w:drawing>
      </w:r>
    </w:p>
    <w:p w14:paraId="4BE7E65F">
      <w:pPr>
        <w:pStyle w:val="19"/>
        <w:numPr>
          <w:ilvl w:val="0"/>
          <w:numId w:val="0"/>
        </w:numPr>
      </w:pPr>
      <w:r>
        <w:rPr>
          <w:lang w:eastAsia="zh-CN"/>
        </w:rPr>
        <w:t>图9</w:t>
      </w:r>
      <w:r>
        <w:rPr>
          <w:rFonts w:hint="eastAsia"/>
          <w:lang w:val="en-US" w:eastAsia="zh-CN"/>
        </w:rPr>
        <w:t xml:space="preserve"> </w:t>
      </w:r>
      <w:r>
        <w:rPr>
          <w:lang w:eastAsia="zh-CN"/>
        </w:rPr>
        <w:t>夹爪中心工作空间的近似覆盖几何体：左图为绕J1轴形成的回转体示意，右图为径向–高度剖面；绿色为保留的近似覆盖区，橙色为扣除的内芯。</w:t>
      </w:r>
    </w:p>
    <w:p w14:paraId="5F6D7581">
      <w:pPr>
        <w:pStyle w:val="3"/>
        <w:keepNext/>
        <w:numPr>
          <w:ilvl w:val="1"/>
          <w:numId w:val="1"/>
        </w:numPr>
      </w:pPr>
      <w:r>
        <w:rPr>
          <w:lang w:eastAsia="zh-CN"/>
        </w:rPr>
        <w:t>基于delta机构的六自由度末端控制器</w:t>
      </w:r>
    </w:p>
    <w:p w14:paraId="0541D1B9">
      <w:pPr>
        <w:pStyle w:val="7"/>
      </w:pPr>
      <w:r>
        <w:rPr>
          <w:lang w:eastAsia="zh-CN"/>
        </w:rPr>
        <w:t>系统主要使用自研六自由度末端控制器输入机械臂末端目标位姿，控制器由三平移自由度Delta并联机构和安装于其动平台上的三转动自由度姿态输入机构组成，属于串并联混合结构。操作者通过移动和转动手柄生成位置与姿态指令，再经坐标变换与运动映射驱动机械臂。对比传统的同构控制器，这一方案能够更加直观和灵活地实现对机器人机械臂末端位姿的观测和控制。</w:t>
      </w:r>
    </w:p>
    <w:p w14:paraId="49176359">
      <w:pPr>
        <w:pStyle w:val="7"/>
      </w:pPr>
      <w:r>
        <w:rPr>
          <w:lang w:eastAsia="zh-CN"/>
        </w:rPr>
        <w:t>经典Delta机构由固定平台、三条对称支链及动平台构成，每条支链包含一根主动臂和由两根等长平行杆构成的从动臂组件，两条从动臂配合两端连接结构形成空间平行四边形约束；三个支链共同作用，约束动平台姿态，使其相对于固定平台保持平行，从而获得三个纯平移自由度。固定平台和动平台的关节分布圆半径分别为R＝95mm、r＝66mm，主动臂和从动臂的关节中心距分别为L₁＝150mm、L₂＝200mm。取固定平台中心为原点，平台平面为xOy，工作侧为z≤0。主动臂角θᵢ从平台面内径向向外方向起算，朝工作侧转动为正，限定为0°～180°。在不考虑实体碰撞、只计动平台中心处于工作侧的位置情况等前提下进行理论建模，动平台中心的逐点几何可达集合可描述为“一个外包络约为461.88×400.00×348.80mm的圆底六棱状体，顶部挖去三个相隔120°、相互交叠的透镜形不可达凹坑</w:t>
      </w:r>
      <w:r>
        <w:rPr>
          <w:rFonts w:hint="eastAsia"/>
          <w:lang w:eastAsia="zh-CN"/>
        </w:rPr>
        <w:t>，</w:t>
      </w:r>
      <w:r>
        <w:rPr>
          <w:lang w:eastAsia="zh-CN"/>
        </w:rPr>
        <w:t>可达</w:t>
      </w:r>
      <w:r>
        <w:rPr>
          <w:rFonts w:hint="eastAsia"/>
          <w:lang w:val="en-US" w:eastAsia="zh-CN"/>
        </w:rPr>
        <w:t>的</w:t>
      </w:r>
      <w:r>
        <w:rPr>
          <w:lang w:eastAsia="zh-CN"/>
        </w:rPr>
        <w:t>几何体积约为33.56L”。经典delta机构动平台中心三维工作空间示意图如图11所示，其中中心轴上的可达区间为z≈−348.80～−89.21mm，外包络尺寸不表示整个长方体均可达，只表示外包络几何体各方向上的最大坐标范围。经典Delta机构的几何定义见图10，三维工作空间及透镜形凹坑见图11。</w:t>
      </w:r>
    </w:p>
    <w:p w14:paraId="00EAACD1">
      <w:pPr>
        <w:keepNext/>
        <w:keepLines/>
        <w:spacing w:before="60" w:after="0"/>
        <w:ind w:firstLine="0"/>
        <w:jc w:val="center"/>
      </w:pPr>
      <w:r>
        <w:drawing>
          <wp:inline distT="0" distB="0" distL="114300" distR="114300">
            <wp:extent cx="3185795" cy="1875790"/>
            <wp:effectExtent l="0" t="0" r="508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3185795" cy="1875790"/>
                    </a:xfrm>
                    <a:prstGeom prst="rect">
                      <a:avLst/>
                    </a:prstGeom>
                    <a:noFill/>
                    <a:ln>
                      <a:noFill/>
                    </a:ln>
                  </pic:spPr>
                </pic:pic>
              </a:graphicData>
            </a:graphic>
          </wp:inline>
        </w:drawing>
      </w:r>
    </w:p>
    <w:p w14:paraId="4EE33CAB">
      <w:pPr>
        <w:pStyle w:val="19"/>
        <w:numPr>
          <w:ilvl w:val="0"/>
          <w:numId w:val="0"/>
        </w:numPr>
      </w:pPr>
      <w:r>
        <w:rPr>
          <w:lang w:eastAsia="zh-CN"/>
        </w:rPr>
        <w:t>图10</w:t>
      </w:r>
      <w:r>
        <w:rPr>
          <w:rFonts w:hint="eastAsia"/>
          <w:lang w:val="en-US" w:eastAsia="zh-CN"/>
        </w:rPr>
        <w:t xml:space="preserve"> </w:t>
      </w:r>
      <w:r>
        <w:rPr>
          <w:lang w:eastAsia="zh-CN"/>
        </w:rPr>
        <w:t>经典Delta机构的几何定义：左图为固定平台、动平台与三条支链；右图为单支链剖面及主动臂转角定义。</w:t>
      </w:r>
      <m:oMath>
        <m:r>
          <m:rPr/>
          <w:rPr>
            <w:rFonts w:hint="default" w:ascii="Cambria Math"/>
          </w:rPr>
          <m:t>i=1,2,3</m:t>
        </m:r>
      </m:oMath>
      <w:r>
        <w:rPr>
          <w:rFonts w:ascii="Times New Roman" w:hAnsi="Times New Roman" w:eastAsia="宋体" w:cs="Times New Roman"/>
          <w:sz w:val="16"/>
          <w:szCs w:val="16"/>
          <w:lang w:val="en-US" w:eastAsia="zh-CN" w:bidi="ar-SA"/>
        </w:rPr>
        <w:t xml:space="preserve"> 表示三条支链的编号；</w:t>
      </w:r>
      <m:oMath>
        <m:sSub>
          <m:sSubPr>
            <m:ctrlPr>
              <w:rPr>
                <w:rFonts w:hint="default" w:ascii="Cambria Math"/>
              </w:rPr>
            </m:ctrlPr>
          </m:sSubPr>
          <m:e>
            <m:r>
              <m:rPr/>
              <w:rPr>
                <w:rFonts w:hint="default" w:ascii="Cambria Math"/>
              </w:rPr>
              <m:t>ϕ</m:t>
            </m:r>
            <m:ctrlPr>
              <w:rPr>
                <w:rFonts w:hint="default" w:ascii="Cambria Math"/>
              </w:rPr>
            </m:ctrlPr>
          </m:e>
          <m:sub>
            <m:r>
              <m:rPr/>
              <w:rPr>
                <w:rFonts w:hint="default" w:ascii="Cambria Math"/>
              </w:rPr>
              <m:t>i</m:t>
            </m:r>
            <m:ctrlPr>
              <w:rPr>
                <w:rFonts w:hint="default" w:ascii="Cambria Math"/>
              </w:rPr>
            </m:ctrlPr>
          </m:sub>
        </m:sSub>
      </m:oMath>
      <w:r>
        <w:rPr>
          <w:rFonts w:ascii="Times New Roman" w:hAnsi="Times New Roman" w:eastAsia="宋体" w:cs="Times New Roman"/>
          <w:sz w:val="16"/>
          <w:szCs w:val="16"/>
          <w:lang w:val="en-US" w:eastAsia="zh-CN" w:bidi="ar-SA"/>
        </w:rPr>
        <w:t xml:space="preserve"> 表示第i条支链在固定平台平面内相对于x轴正方向的方位角，分别取 </w:t>
      </w:r>
      <m:oMath>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m:t>
            </m:r>
            <m:ctrlPr>
              <w:rPr>
                <w:rFonts w:hint="default" w:ascii="Cambria Math"/>
              </w:rPr>
            </m:ctrlPr>
          </m:sup>
        </m:sSup>
        <m:r>
          <m:rPr/>
          <w:rPr>
            <w:rFonts w:hint="default" w:ascii="Cambria Math"/>
          </w:rPr>
          <m:t>、12</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m:t>
            </m:r>
            <m:ctrlPr>
              <w:rPr>
                <w:rFonts w:hint="default" w:ascii="Cambria Math"/>
              </w:rPr>
            </m:ctrlPr>
          </m:sup>
        </m:sSup>
        <m:r>
          <m:rPr/>
          <w:rPr>
            <w:rFonts w:hint="default" w:ascii="Cambria Math"/>
          </w:rPr>
          <m:t>、24</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m:t>
            </m:r>
            <m:ctrlPr>
              <w:rPr>
                <w:rFonts w:hint="default" w:ascii="Cambria Math"/>
              </w:rPr>
            </m:ctrlPr>
          </m:sup>
        </m:sSup>
      </m:oMath>
      <w:r>
        <w:rPr>
          <w:rFonts w:hint="eastAsia"/>
          <w:i w:val="0"/>
          <w:lang w:eastAsia="zh-CN"/>
        </w:rPr>
        <w:t>；</w:t>
      </w:r>
      <w:r>
        <w:rPr>
          <w:lang w:eastAsia="zh-CN"/>
        </w:rPr>
        <w:t>A、B、C分别表示驱动轴、肘关节和动平台连接轴中心</w:t>
      </w:r>
      <w:r>
        <w:rPr>
          <w:rFonts w:hint="eastAsia"/>
          <w:lang w:val="en-US" w:eastAsia="zh-CN"/>
        </w:rPr>
        <w:t>,</w:t>
      </w:r>
      <w:r>
        <w:rPr>
          <w:rFonts w:ascii="Times New Roman" w:hAnsi="Times New Roman" w:eastAsia="宋体" w:cs="Times New Roman"/>
          <w:sz w:val="16"/>
          <w:szCs w:val="16"/>
          <w:lang w:val="en-US" w:eastAsia="zh-CN" w:bidi="ar-SA"/>
        </w:rPr>
        <w:t xml:space="preserve"> </w:t>
      </w:r>
      <m:oMath>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i</m:t>
            </m:r>
            <m:ctrlPr>
              <w:rPr>
                <w:rFonts w:hint="default" w:ascii="Cambria Math"/>
              </w:rPr>
            </m:ctrlPr>
          </m:sub>
        </m:sSub>
      </m:oMath>
      <w:r>
        <w:rPr>
          <w:rFonts w:ascii="Times New Roman" w:hAnsi="Times New Roman" w:eastAsia="宋体" w:cs="Times New Roman"/>
          <w:sz w:val="16"/>
          <w:szCs w:val="16"/>
          <w:lang w:val="en-US" w:eastAsia="zh-CN" w:bidi="ar-SA"/>
        </w:rPr>
        <w:t xml:space="preserve"> 为第i条支链的水平径向单位向量</w:t>
      </w:r>
      <w:r>
        <w:rPr>
          <w:lang w:eastAsia="zh-CN"/>
        </w:rPr>
        <w:t>。</w:t>
      </w:r>
    </w:p>
    <w:p w14:paraId="51F3B51B">
      <w:pPr>
        <w:keepNext/>
        <w:keepLines/>
        <w:spacing w:before="60" w:after="0"/>
        <w:ind w:firstLine="0"/>
        <w:jc w:val="center"/>
      </w:pPr>
      <w:r>
        <w:drawing>
          <wp:inline distT="0" distB="0" distL="114300" distR="114300">
            <wp:extent cx="3188970" cy="1985010"/>
            <wp:effectExtent l="0" t="0" r="190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3188970" cy="1985010"/>
                    </a:xfrm>
                    <a:prstGeom prst="rect">
                      <a:avLst/>
                    </a:prstGeom>
                    <a:noFill/>
                    <a:ln>
                      <a:noFill/>
                    </a:ln>
                  </pic:spPr>
                </pic:pic>
              </a:graphicData>
            </a:graphic>
          </wp:inline>
        </w:drawing>
      </w:r>
    </w:p>
    <w:p w14:paraId="7DE6762A">
      <w:pPr>
        <w:pStyle w:val="19"/>
        <w:numPr>
          <w:ilvl w:val="0"/>
          <w:numId w:val="0"/>
        </w:numPr>
      </w:pPr>
      <w:r>
        <w:rPr>
          <w:lang w:eastAsia="zh-CN"/>
        </w:rPr>
        <w:t>图11</w:t>
      </w:r>
      <w:r>
        <w:rPr>
          <w:rFonts w:hint="eastAsia"/>
          <w:lang w:val="en-US" w:eastAsia="zh-CN"/>
        </w:rPr>
        <w:t xml:space="preserve"> </w:t>
      </w:r>
      <w:r>
        <w:rPr>
          <w:lang w:eastAsia="zh-CN"/>
        </w:rPr>
        <w:t>Delta机构的三维工作空间与透镜形凹坑：左图为三维外包络及中央凹陷；右上图为各高度合并后的xOy投影，右下图为三个透镜形挖除体的俯视关系。</w:t>
      </w:r>
    </w:p>
    <w:p w14:paraId="0D5036F3">
      <w:pPr>
        <w:pStyle w:val="7"/>
      </w:pPr>
      <w:r>
        <w:rPr>
          <w:lang w:eastAsia="zh-CN"/>
        </w:rPr>
        <w:t>在经典delta并联机械臂动平台上，搭载着该控制器的三个旋转自由度姿态输入机构，其转轴按滚转、俯仰、偏航的机械连接顺序布置，同时在固定平台中心引出设计了一个起点校准平台，用于辅助控制器平移零位复位工作，整体设计如图12所示。</w:t>
      </w:r>
    </w:p>
    <w:p w14:paraId="2DC6C5EA">
      <w:pPr>
        <w:keepNext/>
        <w:keepLines/>
        <w:spacing w:before="60" w:after="0"/>
        <w:ind w:firstLine="0"/>
        <w:jc w:val="center"/>
      </w:pPr>
      <w:r>
        <w:drawing>
          <wp:inline distT="0" distB="0" distL="0" distR="0">
            <wp:extent cx="1634490" cy="2070735"/>
            <wp:effectExtent l="0" t="0" r="0" b="0"/>
            <wp:docPr id="211" name="图12  六自由度末端控制器整体结构" descr="图12  六自由度末端控制器整体结构。图中包括Delta固定平台及三条支链、末端旋转机构、操作手柄和底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12  六自由度末端控制器整体结构" descr="图12  六自由度末端控制器整体结构。图中包括Delta固定平台及三条支链、末端旋转机构、操作手柄和底座。"/>
                    <pic:cNvPicPr>
                      <a:picLocks noChangeAspect="1"/>
                    </pic:cNvPicPr>
                  </pic:nvPicPr>
                  <pic:blipFill>
                    <a:blip r:embed="rId16"/>
                    <a:srcRect t="5423"/>
                    <a:stretch>
                      <a:fillRect/>
                    </a:stretch>
                  </pic:blipFill>
                  <pic:spPr>
                    <a:xfrm>
                      <a:off x="0" y="0"/>
                      <a:ext cx="1634490" cy="2070735"/>
                    </a:xfrm>
                    <a:prstGeom prst="rect">
                      <a:avLst/>
                    </a:prstGeom>
                  </pic:spPr>
                </pic:pic>
              </a:graphicData>
            </a:graphic>
          </wp:inline>
        </w:drawing>
      </w:r>
    </w:p>
    <w:p w14:paraId="3EF08CB6">
      <w:pPr>
        <w:pStyle w:val="19"/>
        <w:numPr>
          <w:ilvl w:val="0"/>
          <w:numId w:val="0"/>
        </w:numPr>
      </w:pPr>
      <w:r>
        <w:rPr>
          <w:lang w:eastAsia="zh-CN"/>
        </w:rPr>
        <w:t>图12六自由度末端控制器整体结构</w:t>
      </w:r>
    </w:p>
    <w:p w14:paraId="2D53094B">
      <w:pPr>
        <w:pStyle w:val="7"/>
      </w:pPr>
      <w:r>
        <w:rPr>
          <w:lang w:eastAsia="zh-CN"/>
        </w:rPr>
        <w:t>为了让单人单手能够便利地完成控制器操作，该控制器在保证强度的同时采用了大量减重设计，以减轻操作者手持操作负荷；控制器底座由3mm碳板搭建而成，承担delta机械臂固定平台功能的背板在减重镂空的同时做出了把手设置，方便携带搬运；固定驱动电机的碳板、主动臂和从动臂等部件为了保证强度，采用了4mm碳板，并通过拓扑优化与有限元分析进行优化减重设计；而动平台、控制手柄和零点校准平台则使用聚乳酸（PLA）材料，通过三维打印技术打印而成，轻量化的同时也实现成本节约；控制手柄侧边设计了位置重置按钮，供控制系统进行操作参考点重置。与连续位置映射配合时，该功能可用于分段重新定位，使有限的主手行程覆盖更大的从端指令范围，可以为控制器进一步扩展实际控制空间。</w:t>
      </w:r>
    </w:p>
    <w:p w14:paraId="7E448512">
      <w:pPr>
        <w:pStyle w:val="6"/>
        <w:keepNext/>
      </w:pPr>
      <w:r>
        <w:t>References</w:t>
      </w:r>
    </w:p>
    <w:p w14:paraId="11695467">
      <w:pPr>
        <w:pStyle w:val="23"/>
        <w:numPr>
          <w:ilvl w:val="0"/>
          <w:numId w:val="5"/>
        </w:numPr>
        <w:ind w:left="354" w:hanging="354"/>
      </w:pPr>
      <w:r>
        <w:t>T. Klamt et al., “</w:t>
      </w:r>
      <w:r>
        <w:fldChar w:fldCharType="begin"/>
      </w:r>
      <w:r>
        <w:instrText xml:space="preserve"> HYPERLINK "https://doi.org/10.1002/rob.21895" </w:instrText>
      </w:r>
      <w:r>
        <w:fldChar w:fldCharType="separate"/>
      </w:r>
      <w:r>
        <w:t>Remote mobile manipulation with the Centauro robot: full-body telepresence and autonomous operator assistance</w:t>
      </w:r>
      <w:r>
        <w:fldChar w:fldCharType="end"/>
      </w:r>
      <w:r>
        <w:t xml:space="preserve">,” </w:t>
      </w:r>
      <w:r>
        <w:rPr>
          <w:i/>
          <w:iCs/>
        </w:rPr>
        <w:t>J. Field Robot.</w:t>
      </w:r>
      <w:r>
        <w:t>, vol. 37, no. 5, pp. 889–919, 2020.</w:t>
      </w:r>
    </w:p>
    <w:p w14:paraId="10D7A83F">
      <w:pPr>
        <w:pStyle w:val="23"/>
        <w:numPr>
          <w:ilvl w:val="0"/>
          <w:numId w:val="5"/>
        </w:numPr>
        <w:ind w:left="354" w:hanging="354"/>
      </w:pPr>
      <w:r>
        <w:t>M. Bjelonic et al., “</w:t>
      </w:r>
      <w:r>
        <w:fldChar w:fldCharType="begin"/>
      </w:r>
      <w:r>
        <w:instrText xml:space="preserve"> HYPERLINK "https://doi.org/10.1109/LRA.2019.2899750" </w:instrText>
      </w:r>
      <w:r>
        <w:fldChar w:fldCharType="separate"/>
      </w:r>
      <w:r>
        <w:t>Keep rollin’—whole-body motion control and planning for wheeled quadrupedal robots</w:t>
      </w:r>
      <w:r>
        <w:fldChar w:fldCharType="end"/>
      </w:r>
      <w:r>
        <w:t xml:space="preserve">,” </w:t>
      </w:r>
      <w:r>
        <w:rPr>
          <w:i/>
          <w:iCs/>
        </w:rPr>
        <w:t>IEEE Robot. Autom. Lett.</w:t>
      </w:r>
      <w:r>
        <w:t>, vol. 4, no. 2, pp. 2116–2123, 2019.</w:t>
      </w:r>
    </w:p>
    <w:p w14:paraId="3C5E2E89">
      <w:pPr>
        <w:pStyle w:val="23"/>
        <w:numPr>
          <w:ilvl w:val="0"/>
          <w:numId w:val="5"/>
        </w:numPr>
        <w:ind w:left="354" w:hanging="354"/>
      </w:pPr>
      <w:r>
        <w:t>M. Bjelonic, R. Grandia, O. Harley, C. Galliard, S. Zimmermann, and M. Hutter, “</w:t>
      </w:r>
      <w:r>
        <w:fldChar w:fldCharType="begin"/>
      </w:r>
      <w:r>
        <w:instrText xml:space="preserve"> HYPERLINK "https://doi.org/10.1109/IROS51168.2021.9636371" </w:instrText>
      </w:r>
      <w:r>
        <w:fldChar w:fldCharType="separate"/>
      </w:r>
      <w:r>
        <w:t>Whole-body MPC and online gait sequence generation for wheeled-legged robots</w:t>
      </w:r>
      <w:r>
        <w:fldChar w:fldCharType="end"/>
      </w:r>
      <w:r>
        <w:t xml:space="preserve">,” in </w:t>
      </w:r>
      <w:r>
        <w:rPr>
          <w:i/>
          <w:iCs/>
        </w:rPr>
        <w:t>Proc. IEEE/RSJ Int. Conf. Intell. Robots Syst. (IROS)</w:t>
      </w:r>
      <w:r>
        <w:t>, 2021, pp. 8388–8395.</w:t>
      </w:r>
    </w:p>
    <w:p w14:paraId="042C19B6">
      <w:pPr>
        <w:pStyle w:val="23"/>
        <w:numPr>
          <w:ilvl w:val="0"/>
          <w:numId w:val="5"/>
        </w:numPr>
        <w:ind w:left="354" w:hanging="354"/>
      </w:pPr>
      <w:r>
        <w:t>C. D. Bellicoso et al., “</w:t>
      </w:r>
      <w:r>
        <w:fldChar w:fldCharType="begin"/>
      </w:r>
      <w:r>
        <w:instrText xml:space="preserve"> HYPERLINK "https://doi.org/10.1109/ICRA.2019.8794273" </w:instrText>
      </w:r>
      <w:r>
        <w:fldChar w:fldCharType="separate"/>
      </w:r>
      <w:r>
        <w:t>ALMA—articulated locomotion and manipulation for a torque-controllable robot</w:t>
      </w:r>
      <w:r>
        <w:fldChar w:fldCharType="end"/>
      </w:r>
      <w:r>
        <w:t xml:space="preserve">,” in </w:t>
      </w:r>
      <w:r>
        <w:rPr>
          <w:i/>
          <w:iCs/>
        </w:rPr>
        <w:t>Proc. Int. Conf. Robot. Autom. (ICRA)</w:t>
      </w:r>
      <w:r>
        <w:t>, 2019, pp. 8477–8483.</w:t>
      </w:r>
    </w:p>
    <w:p w14:paraId="2AE309B9">
      <w:pPr>
        <w:pStyle w:val="23"/>
        <w:numPr>
          <w:ilvl w:val="0"/>
          <w:numId w:val="5"/>
        </w:numPr>
        <w:ind w:left="354" w:hanging="354"/>
      </w:pPr>
      <w:r>
        <w:t>R. Zhang, H. Du, P. Qiu, Y. Yang, and W. Song, “</w:t>
      </w:r>
      <w:r>
        <w:fldChar w:fldCharType="begin"/>
      </w:r>
      <w:r>
        <w:instrText xml:space="preserve"> HYPERLINK "https://doi.org/10.1109/IROS60139.2025.11246212" </w:instrText>
      </w:r>
      <w:r>
        <w:fldChar w:fldCharType="separate"/>
      </w:r>
      <w:r>
        <w:t>Motion control of a hybrid self-reconfigurable wheel-legged dual-arm robot</w:t>
      </w:r>
      <w:r>
        <w:fldChar w:fldCharType="end"/>
      </w:r>
      <w:r>
        <w:t xml:space="preserve">,” in </w:t>
      </w:r>
      <w:r>
        <w:rPr>
          <w:i/>
          <w:iCs/>
        </w:rPr>
        <w:t>Proc. IEEE/RSJ Int. Conf. Intell. Robots Syst. (IROS)</w:t>
      </w:r>
      <w:r>
        <w:t>, 2025.</w:t>
      </w:r>
    </w:p>
    <w:p w14:paraId="62F8D74C">
      <w:pPr>
        <w:pStyle w:val="23"/>
        <w:numPr>
          <w:ilvl w:val="0"/>
          <w:numId w:val="5"/>
        </w:numPr>
        <w:ind w:left="354" w:hanging="354"/>
      </w:pPr>
      <w:r>
        <w:t>C. Cruz Ulloa, D. Domínguez, A. Barrientos, and J. del Cerro, “</w:t>
      </w:r>
      <w:r>
        <w:fldChar w:fldCharType="begin"/>
      </w:r>
      <w:r>
        <w:instrText xml:space="preserve"> HYPERLINK "https://doi.org/10.1007/978-3-031-15226-9_19" </w:instrText>
      </w:r>
      <w:r>
        <w:fldChar w:fldCharType="separate"/>
      </w:r>
      <w:r>
        <w:t>Design and mixed-reality teleoperation of a quadruped-manipulator robot for SAR tasks</w:t>
      </w:r>
      <w:r>
        <w:fldChar w:fldCharType="end"/>
      </w:r>
      <w:r>
        <w:t xml:space="preserve">,” in </w:t>
      </w:r>
      <w:r>
        <w:rPr>
          <w:i/>
          <w:iCs/>
        </w:rPr>
        <w:t>Robotics in Natural Settings</w:t>
      </w:r>
      <w:r>
        <w:t xml:space="preserve"> (Lecture Notes in Networks and Systems, vol. 530). Springer, 2023, pp. 181–194.</w:t>
      </w:r>
    </w:p>
    <w:p w14:paraId="7F685752">
      <w:pPr>
        <w:pStyle w:val="23"/>
        <w:numPr>
          <w:ilvl w:val="0"/>
          <w:numId w:val="5"/>
        </w:numPr>
        <w:ind w:left="354" w:hanging="354"/>
      </w:pPr>
      <w:r>
        <w:t>M. Uchiyama, Y. Tsumaki, and W.-K. Yoon, “</w:t>
      </w:r>
      <w:r>
        <w:fldChar w:fldCharType="begin"/>
      </w:r>
      <w:r>
        <w:instrText xml:space="preserve"> HYPERLINK "https://doi.org/10.1007/978-3-540-48113-3_14" </w:instrText>
      </w:r>
      <w:r>
        <w:fldChar w:fldCharType="separate"/>
      </w:r>
      <w:r>
        <w:t>Design of a compact 6-DOF haptic device to use parallel mechanisms</w:t>
      </w:r>
      <w:r>
        <w:fldChar w:fldCharType="end"/>
      </w:r>
      <w:r>
        <w:t xml:space="preserve">,” in </w:t>
      </w:r>
      <w:r>
        <w:rPr>
          <w:i/>
          <w:iCs/>
        </w:rPr>
        <w:t>Robotics Research</w:t>
      </w:r>
      <w:r>
        <w:t xml:space="preserve"> (Springer Tracts in Advanced Robotics, vol. 28). Springer, 2007, pp. 145–162.</w:t>
      </w:r>
    </w:p>
    <w:p w14:paraId="60EAE763">
      <w:pPr>
        <w:pStyle w:val="23"/>
        <w:numPr>
          <w:ilvl w:val="0"/>
          <w:numId w:val="5"/>
        </w:numPr>
        <w:ind w:left="354" w:hanging="354"/>
      </w:pPr>
      <w:r>
        <w:t>M. Vulliez, S. Zeghloul, and O. Khatib, “</w:t>
      </w:r>
      <w:r>
        <w:fldChar w:fldCharType="begin"/>
      </w:r>
      <w:r>
        <w:instrText xml:space="preserve"> HYPERLINK "https://doi.org/10.1016/j.mechmachtheory.2018.06.015" </w:instrText>
      </w:r>
      <w:r>
        <w:fldChar w:fldCharType="separate"/>
      </w:r>
      <w:r>
        <w:t>Design strategy and issues of the Delthaptic, a new 6-DOF parallel haptic device</w:t>
      </w:r>
      <w:r>
        <w:fldChar w:fldCharType="end"/>
      </w:r>
      <w:r>
        <w:t xml:space="preserve">,” </w:t>
      </w:r>
      <w:r>
        <w:rPr>
          <w:i/>
          <w:iCs/>
        </w:rPr>
        <w:t>Mech. Mach. Theory</w:t>
      </w:r>
      <w:r>
        <w:t>, vol. 128, pp. 395–411, 2018.</w:t>
      </w:r>
    </w:p>
    <w:p w14:paraId="35876C86">
      <w:pPr>
        <w:sectPr>
          <w:type w:val="continuous"/>
          <w:pgSz w:w="12240" w:h="15840"/>
          <w:pgMar w:top="1080" w:right="907" w:bottom="1440" w:left="907" w:header="720" w:footer="720" w:gutter="0"/>
          <w:cols w:space="360" w:num="2"/>
          <w:docGrid w:linePitch="360" w:charSpace="0"/>
        </w:sectPr>
      </w:pPr>
    </w:p>
    <w:p w14:paraId="350D5EC5"/>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4EB2CC6"/>
    <w:rsid w:val="07F67816"/>
    <w:rsid w:val="09872B7E"/>
    <w:rsid w:val="09B017D4"/>
    <w:rsid w:val="0ED66651"/>
    <w:rsid w:val="0F661DB2"/>
    <w:rsid w:val="13D759B3"/>
    <w:rsid w:val="13FB5DD6"/>
    <w:rsid w:val="16037420"/>
    <w:rsid w:val="170D692B"/>
    <w:rsid w:val="17E66424"/>
    <w:rsid w:val="19B23DF6"/>
    <w:rsid w:val="1E024D4F"/>
    <w:rsid w:val="1FE04AB5"/>
    <w:rsid w:val="241C3F01"/>
    <w:rsid w:val="247955FF"/>
    <w:rsid w:val="263214A2"/>
    <w:rsid w:val="298F31CF"/>
    <w:rsid w:val="29E10A47"/>
    <w:rsid w:val="2C011CA6"/>
    <w:rsid w:val="2C482972"/>
    <w:rsid w:val="30FD39D4"/>
    <w:rsid w:val="3216623C"/>
    <w:rsid w:val="34CF3FF7"/>
    <w:rsid w:val="39072CC9"/>
    <w:rsid w:val="3A2020BF"/>
    <w:rsid w:val="3EDD02FC"/>
    <w:rsid w:val="3F12424E"/>
    <w:rsid w:val="44756822"/>
    <w:rsid w:val="45F51402"/>
    <w:rsid w:val="46E236F7"/>
    <w:rsid w:val="4A3D6843"/>
    <w:rsid w:val="4A8D3047"/>
    <w:rsid w:val="4D601FD5"/>
    <w:rsid w:val="4DCE1C69"/>
    <w:rsid w:val="4E9609D8"/>
    <w:rsid w:val="4EAC0216"/>
    <w:rsid w:val="55965B41"/>
    <w:rsid w:val="57D6718A"/>
    <w:rsid w:val="598D308A"/>
    <w:rsid w:val="5A5F48C2"/>
    <w:rsid w:val="5BA93F5D"/>
    <w:rsid w:val="5E5F7D3D"/>
    <w:rsid w:val="5FD94F81"/>
    <w:rsid w:val="60894EB2"/>
    <w:rsid w:val="6126670A"/>
    <w:rsid w:val="62150505"/>
    <w:rsid w:val="64DD2A98"/>
    <w:rsid w:val="65031149"/>
    <w:rsid w:val="664B1C51"/>
    <w:rsid w:val="6ACE4725"/>
    <w:rsid w:val="7029347D"/>
    <w:rsid w:val="741357C8"/>
    <w:rsid w:val="74D379E1"/>
    <w:rsid w:val="751A11EC"/>
    <w:rsid w:val="75643C4B"/>
    <w:rsid w:val="769A6DAE"/>
    <w:rsid w:val="77D93650"/>
    <w:rsid w:val="78B4584D"/>
    <w:rsid w:val="7B351209"/>
    <w:rsid w:val="7F875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6"/>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2"/>
    <w:qFormat/>
    <w:uiPriority w:val="0"/>
    <w:pPr>
      <w:tabs>
        <w:tab w:val="center" w:pos="4680"/>
        <w:tab w:val="right" w:pos="9360"/>
      </w:tabs>
    </w:pPr>
  </w:style>
  <w:style w:type="paragraph" w:styleId="9">
    <w:name w:val="header"/>
    <w:basedOn w:val="1"/>
    <w:link w:val="31"/>
    <w:qFormat/>
    <w:uiPriority w:val="0"/>
    <w:pPr>
      <w:tabs>
        <w:tab w:val="center" w:pos="4680"/>
        <w:tab w:val="right" w:pos="9360"/>
      </w:tabs>
    </w:pPr>
  </w:style>
  <w:style w:type="character" w:styleId="12">
    <w:name w:val="Hyperlink"/>
    <w:basedOn w:val="11"/>
    <w:qFormat/>
    <w:uiPriority w:val="0"/>
    <w:rPr>
      <w:color w:val="0563C1" w:themeColor="hyperlink"/>
      <w:u w:val="single"/>
      <w14:textFill>
        <w14:solidFill>
          <w14:schemeClr w14:val="hlink"/>
        </w14:solidFill>
      </w14:textFill>
    </w:rPr>
  </w:style>
  <w:style w:type="paragraph" w:customStyle="1" w:styleId="13">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宋体"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6">
    <w:name w:val="Body Text Char"/>
    <w:link w:val="7"/>
    <w:qFormat/>
    <w:uiPriority w:val="0"/>
    <w:rPr>
      <w:spacing w:val="-1"/>
      <w:lang w:val="zh-CN" w:eastAsia="zh-CN"/>
    </w:rPr>
  </w:style>
  <w:style w:type="paragraph" w:customStyle="1" w:styleId="17">
    <w:name w:val="bullet list"/>
    <w:basedOn w:val="7"/>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5">
    <w:name w:val="table col head"/>
    <w:basedOn w:val="1"/>
    <w:qFormat/>
    <w:uiPriority w:val="0"/>
    <w:rPr>
      <w:b/>
      <w:bCs/>
      <w:sz w:val="16"/>
      <w:szCs w:val="16"/>
    </w:rPr>
  </w:style>
  <w:style w:type="paragraph" w:customStyle="1" w:styleId="26">
    <w:name w:val="table col subhead"/>
    <w:basedOn w:val="25"/>
    <w:qFormat/>
    <w:uiPriority w:val="0"/>
    <w:rPr>
      <w:i/>
      <w:iCs/>
      <w:sz w:val="15"/>
      <w:szCs w:val="15"/>
    </w:rPr>
  </w:style>
  <w:style w:type="paragraph" w:customStyle="1" w:styleId="27">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11"/>
    <w:link w:val="9"/>
    <w:qFormat/>
    <w:uiPriority w:val="0"/>
  </w:style>
  <w:style w:type="character" w:customStyle="1" w:styleId="32">
    <w:name w:val="Footer Char"/>
    <w:basedOn w:val="11"/>
    <w:link w:val="8"/>
    <w:qFormat/>
    <w:uiPriority w:val="0"/>
  </w:style>
  <w:style w:type="character" w:customStyle="1" w:styleId="3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5</Pages>
  <Words>6010</Words>
  <Characters>8704</Characters>
  <Lines>108</Lines>
  <Paragraphs>30</Paragraphs>
  <TotalTime>191</TotalTime>
  <ScaleCrop>false</ScaleCrop>
  <LinksUpToDate>false</LinksUpToDate>
  <CharactersWithSpaces>9188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cp:lastModifiedBy>月</cp:lastModifiedBy>
  <dcterms:modified xsi:type="dcterms:W3CDTF">2026-10-04T18:08:37Z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eyJoZGlkIjoiZDg5MjkwNTdmMmUzNjc3Yzk0NTc0YzM2NjI3NjczNjAiLCJ1c2VySWQiOiIxNjQ5ODQ1NTc3In0=</vt:lpwstr>
  </property>
  <property fmtid="{D5CDD505-2E9C-101B-9397-08002B2CF9AE}" pid="3" name="KSOProductBuildVer">
    <vt:lpwstr>2052-12.1.0.28505</vt:lpwstr>
  </property>
  <property fmtid="{D5CDD505-2E9C-101B-9397-08002B2CF9AE}" pid="4" name="ICV">
    <vt:lpwstr>C9EDA5EE2CE7482EB4642E841DB0E82D_13</vt:lpwstr>
  </property>
</Properties>
</file>