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[1]。</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Denavit–Hartenberg（DH）法定义关节坐标系；前三个关节主要确定腕心位置，后三个关节确定末端姿态；夹爪的开合自由度用于抓取。机械臂连杆采用碳纤维板与铝制加工件，夹爪采用连杆与滑轨机构 [1]。</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依次对应动轴滚转（roll）、俯仰（pitch）和偏航（yaw），简称 RPY。主手通过正运动学获得位置和姿态，并经无线链路向作为从手的机械臂发送位姿指令；主手的力矩前馈用于补偿自身重力，减轻静态持握负担。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 xml:space="preserve">点号表示对时间求导，带期望标记时表示对应导数量的参考值；</w:t>
      </w:r>
      <m:oMath>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 xml:space="preserve">1) 概述</w:t>
      </w:r>
      <w:r>
        <w:rPr>
          <w:rFonts w:hint="eastAsia"/>
        </w:rPr>
        <w:t xml:space="preserve"/>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机身采用上下分层框架，上层以碳纤维方管和板件构成承载结构，下层采用铝方管，并在框架内部布置电源、电气元件、线束及机械臂基座传动组件。底部导向滚轮用于辅助接触过渡并减少底面刮擦。</w:t>
      </w:r>
    </w:p>
    <w:p w14:paraId="7A110001">
      <w:pPr>
        <w:pStyle w:val="7"/>
        <w:numPr>
          <w:ilvl w:val="0"/>
          <w:numId w:val="0"/>
        </w:numPr>
        <w:snapToGrid w:val="0"/>
        <w:rPr>
          <w:sz w:val="20"/>
        </w:rPr>
      </w:pPr>
      <w:r>
        <w:rPr>
          <w:rFonts w:ascii="Times New Roman" w:hAnsi="Times New Roman" w:eastAsia="宋体"/>
          <w:sz w:val="20"/>
          <w:szCs w:val="20"/>
        </w:rPr>
        <w:t xml:space="preserve">两路腿部驱动同轴集中布置于髋部，其中一路直接驱动大腿，另一路通过平行四边形连杆向小腿传递运动与力矩。该布置使膝部无需安装随腿摆动的驱动电机，并使轮心定位可采用等效二转动关节模型描述。杆件上的局部镂空与走线槽分别服务于减重和线束布置，便于结构与电气系统集成。</w:t>
      </w:r>
    </w:p>
    <w:p w14:paraId="7A110002">
      <w:pPr>
        <w:pStyle w:val="7"/>
        <w:numPr>
          <w:ilvl w:val="0"/>
          <w:numId w:val="0"/>
        </w:numPr>
        <w:snapToGrid w:val="0"/>
        <w:rPr>
          <w:sz w:val="20"/>
        </w:rPr>
      </w:pPr>
      <w:r>
        <w:rPr>
          <w:rFonts w:ascii="Times New Roman" w:hAnsi="Times New Roman" w:eastAsia="宋体"/>
          <w:sz w:val="20"/>
          <w:szCs w:val="20"/>
        </w:rPr>
        <w:t xml:space="preserve">控制采用“单腿建模—整机合力分配—关节执行”的分层结构。腿部关节调整支撑高度与前后轮心位置，车轮负责平面滚动。</w:t>
      </w:r>
    </w:p>
    <w:p w14:paraId="6F10B002">
      <w:pPr>
        <w:pStyle w:val="4"/>
        <w:numPr>
          <w:ilvl w:val="2"/>
          <w:numId w:val="0"/>
        </w:numPr>
        <w:snapToGrid w:val="0"/>
      </w:pPr>
      <w:r>
        <w:t xml:space="preserve">2) 单腿运动学</w:t>
      </w:r>
      <w:r>
        <w:rPr>
          <w:rFonts w:hint="eastAsia"/>
        </w:rPr>
        <w:t xml:space="preserve"/>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SimSun"/>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m:rP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 xml:space="preserve">3) 麦克纳姆轮运动学</w:t>
      </w:r>
      <w:r>
        <w:rPr>
          <w:rFonts w:hint="eastAsia"/>
        </w:rPr>
        <w:t xml:space="preserve"/>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e>
            <m:r>
              <m:rPr>
                <m:sty m:val="bi"/>
              </m:rPr>
              <w:rPr>
                <w:rFonts w:ascii="Cambria Math" w:hAnsi="Cambria Math" w:eastAsia="Cambria Math" w:cs="Cambria Math"/>
                <w:sz w:val="20"/>
                <w:szCs w:val="20"/>
              </w:rPr>
              <m:t>v</m:t>
            </m:r>
          </m:e>
          <m:sub>
            <m:r>
              <m:rPr>
                <m:sty m:val="i"/>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 </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e>
            <m:r>
              <m:rPr>
                <m:sty m:val="i"/>
              </m:rPr>
              <w:rPr>
                <w:rFonts w:ascii="Cambria Math" w:hAnsi="Cambria Math" w:eastAsia="Cambria Math" w:cs="Cambria Math"/>
                <w:sz w:val="20"/>
                <w:szCs w:val="20"/>
              </w:rPr>
              <m:t>ω</m:t>
            </m:r>
          </m:e>
          <m:sub>
            <m:r>
              <m:rPr>
                <m:sty m:val="i"/>
              </m:rPr>
              <w:rPr>
                <w:rFonts w:ascii="Cambria Math" w:hAnsi="Cambria Math" w:eastAsia="Cambria Math" w:cs="Cambria Math"/>
                <w:sz w:val="20"/>
                <w:szCs w:val="20"/>
              </w:rPr>
              <m:t>i</m:t>
            </m:r>
          </m:sub>
        </m:sSub>
      </m:oMath>
      <w:r>
        <w:rPr>
          <w:rFonts w:ascii="Times New Roman" w:hAnsi="Times New Roman" w:eastAsia="宋体"/>
          <w:sz w:val="20"/>
          <w:szCs w:val="20"/>
        </w:rPr>
        <w:t xml:space="preserve">。</w:t>
      </w: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式 (8)保留了普通车轮的滚动项与辊子带来的侧向项。轮毂相对小腿的编码器速度与绝对自转速度还相差小腿绕轮轴的转速；腿部运动时应进行相应补偿。</w:t>
      </w:r>
    </w:p>
    <w:bookmarkEnd w:id="6"/>
    <w:p w14:paraId="5844043D">
      <w:pPr>
        <w:pStyle w:val="4"/>
        <w:numPr>
          <w:ilvl w:val="2"/>
          <w:numId w:val="0"/>
        </w:numPr>
        <w:snapToGrid w:val="0"/>
      </w:pPr>
      <w:bookmarkStart w:id="7" w:name="轮体动力学与足端力映射"/>
      <w:r>
        <w:t xml:space="preserve">4) 轮体动力学与足端力映射</w:t>
      </w:r>
      <w:r>
        <w:rPr>
          <w:rFonts w:hint="eastAsia"/>
        </w:rPr>
        <w:t xml:space="preserve"/>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为轮体关于质心的惯性张量，</w:t>
      </w:r>
      <m:oMath>
        <m:sSub>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m:oMath>
        <m:r>
          <m:rPr>
            <m:sty m:val="i"/>
          </m:rPr>
          <w:rPr>
            <w:rFonts w:ascii="Cambria Math" w:hAnsi="Cambria Math" w:eastAsia="Cambria Math" w:cs="Cambria Math"/>
            <w:sz w:val="20"/>
            <w:szCs w:val="20"/>
          </w:rPr>
          <m:t>δ</m:t>
        </m:r>
        <m:sSub>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7"/>
    <w:p w14:paraId="5DC355BB">
      <w:pPr>
        <w:pStyle w:val="4"/>
        <w:numPr>
          <w:ilvl w:val="2"/>
          <w:numId w:val="0"/>
        </w:numPr>
        <w:snapToGrid w:val="0"/>
      </w:pPr>
      <w:bookmarkStart w:id="8" w:name="整机单刚体动力学"/>
      <w:r>
        <w:t xml:space="preserve">5) 整机单刚体动力学</w:t>
      </w:r>
      <w:r>
        <w:rPr>
          <w:rFonts w:hint="eastAsia"/>
        </w:rPr>
        <w:t xml:space="preserve"/>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ascii="Times New Roman" w:hAnsi="Times New Roman" w:eastAsia="宋体"/>
          <w:sz w:val="20"/>
          <w:szCs w:val="20"/>
        </w:rPr>
        <w:t xml:space="preserve">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 xml:space="preserve">。令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 xml:space="preserve">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8"/>
    <w:p w14:paraId="1F9BE2B0">
      <w:pPr>
        <w:pStyle w:val="4"/>
        <w:numPr>
          <w:ilvl w:val="2"/>
          <w:numId w:val="0"/>
        </w:numPr>
        <w:snapToGrid w:val="0"/>
      </w:pPr>
      <w:bookmarkStart w:id="9" w:name="姿态控制器"/>
      <w:r>
        <w:t xml:space="preserve">6) 姿态控制器</w:t>
      </w:r>
      <w:r>
        <w:rPr>
          <w:rFonts w:hint="eastAsia"/>
        </w:rPr>
        <w:t xml:space="preserve"/>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为上一周期的值；高度修正量及其增量的单位均为米。</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SimSun"/>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 xml:space="preserve">1) 结构概述</w:t>
      </w:r>
    </w:p>
    <w:p w14:paraId="7A110004">
      <w:pPr>
        <w:pStyle w:val="7"/>
        <w:numPr>
          <w:ilvl w:val="0"/>
          <w:numId w:val="0"/>
        </w:numPr>
        <w:snapToGrid w:val="0"/>
        <w:rPr>
          <w:sz w:val="20"/>
        </w:rPr>
      </w:pPr>
      <w:r>
        <w:rPr>
          <w:rFonts w:ascii="Times New Roman" w:hAnsi="Times New Roman" w:eastAsia="宋体"/>
          <w:sz w:val="20"/>
          <w:szCs w:val="20"/>
        </w:rPr>
        <w:t xml:space="preserve">机械臂由六个转动关节和末端连杆式夹爪组成，分别承担空间位姿调整与抓取动作。主体采用碳纤维板与铝制连接件组合的结构，关节通过齿轮及连杆传动传递运动；双侧支承和榫卯配合用于辅助部件定位与装配。结构设计围绕关节轴线、连杆中心距和工具安装关系展开，为基于 DH 坐标系的运动学建模提供几何依据。</w:t>
      </w:r>
    </w:p>
    <w:p w14:paraId="7A110005">
      <w:pPr>
        <w:pStyle w:val="4"/>
        <w:numPr>
          <w:ilvl w:val="2"/>
          <w:numId w:val="0"/>
        </w:numPr>
        <w:snapToGrid w:val="0"/>
      </w:pPr>
      <w:r>
        <w:rPr>
          <w:rFonts w:ascii="Times New Roman" w:hAnsi="Times New Roman" w:eastAsia="宋体"/>
          <w:sz w:val="20"/>
          <w:szCs w:val="20"/>
        </w:rPr>
        <w:t xml:space="preserve">2) 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六轴机械臂采用肘式臂与球腕结构，末三轴交于腕心，可将逆解分为前三轴定位和后三轴定姿。关节坐标系与连杆尺寸如 Fig. 8 所示。给定基坐标系 {0} 下的末端目标位置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，按照本文的工具坐标约定，腕心位置由末端沿工具负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 得到，记为 </w:t>
      </w:r>
      <m:oMath>
        <m:sSub>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 xml:space="preserve">(a)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256"/>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8"/>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 xml:space="preserve">(b) Joint coordinate frames</w:t>
      </w:r>
    </w:p>
    <w:p w14:paraId="1428A8F6">
      <w:pPr>
        <w:pStyle w:val="18"/>
        <w:numPr>
          <w:ilvl w:val="0"/>
          <w:numId w:val="0"/>
        </w:numPr>
        <w:snapToGrid w:val="0"/>
      </w:pPr>
      <w:r>
        <w:rPr>
          <w:iCs/>
        </w:rPr>
        <w:t xml:space="preserve">Fig. 8. 六轴机械臂关节坐标系。（a）侧视图上的坐标系对应位置。（b）关节坐标系与连杆尺寸定义。坐标系 2、3 的原点重合，坐标系 4、5 的原点重合。</w:t>
      </w:r>
      <w:r>
        <w:rPr>
          <w:rFonts w:hint="eastAsia"/>
          <w:iCs/>
        </w:rPr>
        <w:t xml:space="preserve"/>
      </w:r>
      <w:r>
        <w:rPr>
          <w:rFonts w:hint="eastAsia"/>
          <w:iCs/>
          <w:lang w:eastAsia="zh-CN"/>
        </w:rPr>
        <w:t xml:space="preserve"/>
      </w:r>
      <w:r>
        <w:rPr>
          <w:rFonts w:hint="eastAsia"/>
          <w:iCs/>
        </w:rPr>
        <w:t xml:space="preserve"/>
      </w:r>
    </w:p>
    <w:p w14:paraId="6F10C801">
      <w:pPr>
        <w:pStyle w:val="7"/>
        <w:numPr>
          <w:ilvl w:val="0"/>
          <w:numId w:val="0"/>
        </w:numPr>
        <w:snapToGrid w:val="0"/>
        <w:rPr>
          <w:sz w:val="20"/>
        </w:rPr>
      </w:pPr>
      <w:r>
        <w:rPr>
          <w:rFonts w:ascii="Times New Roman" w:hAnsi="Times New Roman" w:eastAsia="宋体"/>
          <w:sz w:val="20"/>
          <w:szCs w:val="20"/>
        </w:rPr>
        <w:t xml:space="preserve">关节角记为 </w:t>
      </w:r>
      <m:oMath>
        <m:sSub>
          <m:e>
            <m:r>
              <m:rPr>
                <m:sty m:val="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m:sty m:val="i"/>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 xml:space="preserve">），末端位置和姿态均相对于基坐标系 {0} 表示。</w:t>
      </w:r>
      <m:oMath>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hint="eastAsia"/>
          <w:sz w:val="20"/>
          <w:szCs w:val="20"/>
          <w:lang w:eastAsia="zh-CN"/>
        </w:rPr>
        <w:t>将坐标系 4、5 的重合原点定义为腕心，</w:t>
      </w:r>
      <w:r>
        <w:rPr>
          <w:rFonts w:hint="eastAsia"/>
          <w:sz w:val="20"/>
          <w:szCs w:val="20"/>
          <w:lang w:val="en-US" w:eastAsia="zh-CN"/>
        </w:rPr>
        <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，由平面三角形余弦定理，正对高臂分支为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由前三轴关节角确定坐标系 {3} 到 {0} 的旋转矩阵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 xml:space="preserve">；</w:t>
      </w:r>
      <m:oMath>
        <m:sSub>
          <m:e>
            <m:r>
              <m:rPr>
                <m:sty m:val="i"/>
              </m:rPr>
              <w:rPr>
                <w:rFonts w:ascii="Cambria Math" w:hAnsi="Cambria Math" w:eastAsia="Cambria Math" w:cs="Cambria Math"/>
                <w:sz w:val="20"/>
                <w:szCs w:val="20"/>
              </w:rPr>
              <m:t>θ</m:t>
            </m:r>
          </m:e>
          <m:sub>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关节角，其中</w:t>
      </w:r>
      <w:r>
        <w:rPr>
          <w:rFonts w:hint="eastAsia"/>
          <w:sz w:val="20"/>
          <w:szCs w:val="20"/>
        </w:rPr>
        <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eastAsia="SimSun"/>
          <w:sz w:val="20"/>
          <w:lang w:eastAsia="zh-CN"/>
        </w:rPr>
      </w:pPr>
      <w:r>
        <w:rPr>
          <w:rFonts w:hint="eastAsia"/>
          <w:sz w:val="20"/>
          <w:szCs w:val="20"/>
        </w:rPr>
        <w:t>对候选解进行位姿回代检查，选择与上一时刻关节角最接近的可行分支</w:t>
      </w:r>
      <w:r>
        <w:rPr>
          <w:rFonts w:hint="eastAsia"/>
          <w:sz w:val="20"/>
          <w:szCs w:val="20"/>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sz w:val="20"/>
          <w:szCs w:val="20"/>
        </w:rPr>
        <w:t xml:space="preserve">。</w:t>
      </w:r>
    </w:p>
    <w:p w14:paraId="7A110006">
      <w:pPr>
        <w:pStyle w:val="7"/>
        <w:numPr>
          <w:ilvl w:val="0"/>
          <w:numId w:val="0"/>
        </w:numPr>
        <w:snapToGrid w:val="0"/>
        <w:rPr>
          <w:sz w:val="20"/>
        </w:rPr>
      </w:pPr>
      <w:r>
        <w:rPr>
          <w:rFonts w:ascii="Times New Roman" w:hAnsi="Times New Roman" w:eastAsia="宋体"/>
          <w:sz w:val="20"/>
          <w:szCs w:val="20"/>
        </w:rPr>
        <w:t xml:space="preserve">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 xml:space="preserve">2) 正运动学</w:t>
      </w:r>
    </w:p>
    <w:p w14:paraId="7A110008">
      <w:pPr>
        <w:pStyle w:val="7"/>
        <w:numPr>
          <w:ilvl w:val="0"/>
          <w:numId w:val="0"/>
        </w:numPr>
        <w:snapToGrid w:val="0"/>
        <w:rPr>
          <w:sz w:val="20"/>
        </w:rPr>
      </w:pPr>
      <w:r>
        <w:rPr>
          <w:rFonts w:ascii="Times New Roman" w:hAnsi="Times New Roman" w:eastAsia="宋体"/>
          <w:sz w:val="20"/>
          <w:szCs w:val="20"/>
        </w:rPr>
        <w:t xml:space="preserve">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4"/>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5"/>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[1]）</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e>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从二次方程候选根中</w:t>
      </w:r>
      <w:r>
        <w:rPr>
          <w:rFonts w:hint="eastAsia"/>
          <w:sz w:val="20"/>
          <w:szCs w:val="20"/>
        </w:rPr>
        <w:t>选择满足工作侧、机构装配分支和连续性条件的根。</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SimSun"/>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r>
        <w:rPr>
          <w:rFonts w:hint="eastAsia"/>
          <w:sz w:val="20"/>
          <w:szCs w:val="20"/>
          <w:lang w:val="en-US" w:eastAsia="zh-CN"/>
        </w:rPr>
        <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SimSun"/>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x</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y</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分别为绕相应坐标轴的右手基本旋转矩阵。</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将(33)的目标位置和姿态重新组合，得到从端末端相对机械臂基座的目标齐次变换矩阵：</w:t>
      </w:r>
      <w:bookmarkStart w:id="18" w:name="_GoBack"/>
      <w:bookmarkEnd w:id="18"/>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节的末端目标姿态和位置，关节指令由解析逆运动学（inverse kinematics，IK）映射得到：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具体而言，先由(20)扣除工具偏置得到腕心，再由(21)计算前三个关节角；随后用(22)求腕部相对姿态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，由(23)及零位偏置得到后三个关节角。保留与上一时刻最接近的可行解，作为六轴关节指令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w:t>
      </w:r>
    </w:p>
    <w:bookmarkEnd w:id="2"/>
    <w:bookmarkEnd w:id="11"/>
    <w:bookmarkEnd w:id="14"/>
    <w:p w14:paraId="3A278C2B">
      <w:pPr>
        <w:pStyle w:val="2"/>
        <w:numPr>
          <w:ilvl w:val="0"/>
          <w:numId w:val="0"/>
        </w:numPr>
        <w:snapToGrid w:val="0"/>
      </w:pPr>
      <w:bookmarkStart w:id="15" w:name="v.-结论conclusion"/>
      <w:r>
        <w:t>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本文形成了底盘移动与姿态控制、机械臂逆运动学及主从位姿映射相结合的控制流程。整机能耗、末端定位精度及重复任务成功率仍需定量评估。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r>
        <w:rPr>
          <w:rFonts w:hint="eastAsia"/>
          <w:sz w:val="20"/>
          <w:szCs w:val="20"/>
        </w:rPr>
        <w:t/>
      </w:r>
    </w:p>
    <w:bookmarkEnd w:id="16"/>
    <w:p w14:paraId="07FDE488">
      <w:pPr>
        <w:pStyle w:val="6"/>
        <w:keepNext/>
        <w:numPr>
          <w:ilvl w:val="0"/>
          <w:numId w:val="0"/>
        </w:numPr>
        <w:snapToGrid w:val="0"/>
      </w:pPr>
      <w:bookmarkStart w:id="17" w:name="参考文献references"/>
      <w:r>
        <w:rPr>
          <w:rFonts w:hint="eastAsia"/>
        </w:rPr>
        <w:t>参考文献（References）</w:t>
      </w:r>
    </w:p>
    <w:p w14:paraId="4260D61B">
      <w:pPr>
        <w:pStyle w:val="22"/>
        <w:numPr>
          <w:ilvl w:val="0"/>
          <w:numId w:val="0"/>
        </w:numPr>
        <w:snapToGrid w:val="0"/>
      </w:pPr>
      <w:r>
        <w:t xml:space="preserve">[1] </w:t>
      </w:r>
      <w:r>
        <w:rPr>
          <w:rFonts w:hint="eastAsia"/>
        </w:rPr>
        <w:t>“机械部分，”项目机械设计资料，未出版。</w:t>
      </w:r>
    </w:p>
    <w:bookmarkEnd w:id="0"/>
    <w:bookmarkEnd w:id="17"/>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15B381E1"/>
    <w:rsid w:val="47FBC7DB"/>
    <w:rsid w:val="677EF307"/>
    <w:rsid w:val="6EFF9550"/>
    <w:rsid w:val="7CFFB4DD"/>
    <w:rsid w:val="7D7BC468"/>
    <w:rsid w:val="7DB3EA36"/>
    <w:rsid w:val="7DB9D918"/>
    <w:rsid w:val="7DDBEB2D"/>
    <w:rsid w:val="7F7C0272"/>
    <w:rsid w:val="7FFB82DC"/>
    <w:rsid w:val="7FFD2014"/>
    <w:rsid w:val="7FFE82C9"/>
    <w:rsid w:val="B31DD456"/>
    <w:rsid w:val="BBFFEEA7"/>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8" Type="http://schemas.openxmlformats.org/officeDocument/2006/relationships/image" Target="media/arm_joint_frames_correct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133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赵苏亚</cp:lastModifiedBy>
  <dcterms:modified xsi:type="dcterms:W3CDTF">2026-10-07T19:03:22Z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