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1C982">
      <w:pPr>
        <w:pStyle w:val="21"/>
        <w:numPr>
          <w:ilvl w:val="0"/>
          <w:numId w:val="0"/>
        </w:numPr>
        <w:snapToGrid w:val="0"/>
        <w:ind w:firstLine="720" w:firstLineChars="0"/>
      </w:pPr>
      <w:bookmarkStart w:id="0" w:name="麦克纳姆轮四足移动机械臂的轻量化设计与基于-delta-机构的异构遥操作控制"/>
      <w:r>
        <w:rPr>
          <w:rFonts w:hint="eastAsia" w:eastAsia="宋体"/>
          <w:lang w:val="en-US" w:eastAsia="zh-CN"/>
        </w:rPr>
        <w:t xml:space="preserve">   </w:t>
      </w:r>
      <w:r>
        <w:rPr>
          <w:rFonts w:hint="eastAsia"/>
        </w:rPr>
        <w:t>麦克纳姆轮四足移动机械臂的</w:t>
      </w:r>
      <w:r>
        <w:rPr>
          <w:rFonts w:hint="eastAsia" w:eastAsia="宋体"/>
          <w:lang w:val="en-US" w:eastAsia="zh-CN"/>
        </w:rPr>
        <w:t>系统</w:t>
      </w:r>
      <w:r>
        <w:rPr>
          <w:rFonts w:hint="eastAsia"/>
        </w:rPr>
        <w:t>设计与基于</w:t>
      </w:r>
      <w:r>
        <w:t xml:space="preserve"> Delta </w:t>
      </w:r>
      <w:r>
        <w:rPr>
          <w:rFonts w:hint="eastAsia"/>
        </w:rPr>
        <w:t>机构的异构遥操作控制</w:t>
      </w:r>
    </w:p>
    <w:p w14:paraId="54C95EF6">
      <w:pPr>
        <w:pStyle w:val="14"/>
        <w:numPr>
          <w:ilvl w:val="0"/>
          <w:numId w:val="0"/>
        </w:numPr>
        <w:snapToGrid w:val="0"/>
        <w:sectPr>
          <w:pgSz w:w="11906" w:h="16838"/>
          <w:pgMar w:top="540" w:right="893" w:bottom="1440" w:left="893" w:header="720" w:footer="720" w:gutter="0"/>
          <w:cols w:space="720" w:num="1"/>
          <w:docGrid w:linePitch="360" w:charSpace="0"/>
        </w:sectPr>
      </w:pPr>
    </w:p>
    <w:p w14:paraId="53B7F503">
      <w:pPr>
        <w:pStyle w:val="12"/>
        <w:numPr>
          <w:ilvl w:val="0"/>
          <w:numId w:val="0"/>
        </w:numPr>
        <w:snapToGrid w:val="0"/>
      </w:pPr>
      <w:bookmarkStart w:id="1" w:name="摘要abstract"/>
      <w:r>
        <w:t>摘要（Abstract）—</w:t>
      </w:r>
      <w:r>
        <w:rPr>
          <w:rFonts w:hint="eastAsia"/>
        </w:rPr>
        <w:t>搭载机械臂的四足机器人兼具地形适应能力和环境操作能力，在灾害救援、危险环境作业与园区巡检等场景中具有应用价值。面向</w:t>
      </w:r>
      <w:r>
        <w:rPr>
          <w:rFonts w:hint="eastAsia"/>
          <w:color w:val="FF0000"/>
          <w:highlight w:val="yellow"/>
          <w:lang w:val="en-US" w:eastAsia="zh-CN"/>
        </w:rPr>
        <w:t>以上场景</w:t>
      </w:r>
      <w:r>
        <w:rPr>
          <w:rFonts w:hint="eastAsia"/>
        </w:rPr>
        <w:t>，本文提出一种麦克纳姆轮四足移动机械臂及其异构遥操作系统。底盘每腿</w:t>
      </w:r>
      <w:r>
        <w:rPr>
          <w:rFonts w:hint="eastAsia"/>
          <w:highlight w:val="green"/>
          <w:lang w:eastAsia="zh-CN"/>
        </w:rPr>
        <w:t>拥有</w:t>
      </w:r>
      <w:r>
        <w:rPr>
          <w:rFonts w:hint="eastAsia"/>
        </w:rPr>
        <w:t>两个俯仰关节和一个车轮驱动自由度，通过麦克纳姆轮的方向约束实现平面全向运动；控制上采用单腿虚功映射与整机单刚体模型相结合的分层力矩前馈，并通过姿态反馈调整腿长。六轴机械臂通过位置与姿态分解完成解析逆运动学，主端采用</w:t>
      </w:r>
      <w:r>
        <w:t xml:space="preserve"> Delta </w:t>
      </w:r>
      <w:r>
        <w:rPr>
          <w:rFonts w:hint="eastAsia"/>
        </w:rPr>
        <w:t>并联机构与三编码器手柄分别输入末端位置和姿态。通过主从坐标校准与位姿映射，将主手输入转换为机械臂关节指令，并采用主手重力补偿减轻静态持握负担。本文建立了从机构设计、运动学建模到模型前馈与关节控制的完整方法，为系统的</w:t>
      </w:r>
      <w:r>
        <w:rPr>
          <w:rFonts w:hint="eastAsia"/>
          <w:color w:val="FF0000"/>
          <w:highlight w:val="yellow"/>
          <w:lang w:val="en-US" w:eastAsia="zh-CN"/>
        </w:rPr>
        <w:t>整体设计和功能</w:t>
      </w:r>
      <w:r>
        <w:rPr>
          <w:rFonts w:hint="eastAsia"/>
          <w:color w:val="FF0000"/>
          <w:highlight w:val="yellow"/>
        </w:rPr>
        <w:t>实现</w:t>
      </w:r>
      <w:r>
        <w:rPr>
          <w:rFonts w:hint="eastAsia"/>
        </w:rPr>
        <w:t>提供依据</w:t>
      </w:r>
      <w:r>
        <w:rPr>
          <w:rFonts w:hint="eastAsia"/>
          <w:lang w:eastAsia="zh-CN"/>
        </w:rPr>
        <w:t>，</w:t>
      </w:r>
      <w:r>
        <w:rPr>
          <w:rFonts w:hint="eastAsia"/>
          <w:color w:val="FF0000"/>
          <w:lang w:val="en-US" w:eastAsia="zh-CN"/>
        </w:rPr>
        <w:t>并在文章结尾给出了实物验证效果展示</w:t>
      </w:r>
      <w:r>
        <w:rPr>
          <w:rFonts w:hint="eastAsia"/>
        </w:rPr>
        <w:t>。</w:t>
      </w:r>
    </w:p>
    <w:p w14:paraId="6FCC174E">
      <w:pPr>
        <w:pStyle w:val="29"/>
        <w:numPr>
          <w:ilvl w:val="0"/>
          <w:numId w:val="0"/>
        </w:numPr>
        <w:snapToGrid w:val="0"/>
      </w:pPr>
      <w:r>
        <w:rPr>
          <w:rFonts w:hint="eastAsia"/>
          <w:b/>
          <w:bCs/>
        </w:rPr>
        <w:t>关键词（Keywords）</w:t>
      </w:r>
      <w:r>
        <w:rPr>
          <w:rFonts w:hint="eastAsia"/>
        </w:rPr>
        <w:t>：轮足机器人，麦克纳姆轮，移动操作，力矩前馈，异构遥操作。</w:t>
      </w:r>
    </w:p>
    <w:bookmarkEnd w:id="1"/>
    <w:p w14:paraId="6BBBA587">
      <w:pPr>
        <w:pStyle w:val="2"/>
        <w:numPr>
          <w:ilvl w:val="0"/>
          <w:numId w:val="0"/>
        </w:numPr>
        <w:snapToGrid w:val="0"/>
      </w:pPr>
      <w:r>
        <w:rPr>
          <w:rFonts w:hint="eastAsia"/>
        </w:rPr>
        <w:t>I. 引言（Introduction）</w:t>
      </w:r>
    </w:p>
    <w:p w14:paraId="70A5ABB0">
      <w:pPr>
        <w:pStyle w:val="7"/>
        <w:numPr>
          <w:ilvl w:val="0"/>
          <w:numId w:val="0"/>
        </w:numPr>
        <w:snapToGrid w:val="0"/>
        <w:rPr>
          <w:rFonts w:hint="eastAsia"/>
          <w:sz w:val="20"/>
          <w:szCs w:val="20"/>
        </w:rPr>
      </w:pPr>
      <w:r>
        <w:rPr>
          <w:rFonts w:hint="eastAsia"/>
          <w:sz w:val="20"/>
          <w:szCs w:val="20"/>
        </w:rPr>
        <w:t>随着机器人应用向应急救援、危险环境巡检和远程维护等场景拓展，移动机器人不仅需要在复杂地形中完成移动与环境感知，还需要具备物体抓取、搬运及设备操作等能力。这类任务要求机器人同时具备地形适应能力、灵活的末端操作能力以及有效的人机交互方式。CENTAURO等系统将轮足移动机构、机械臂与遥操作接口相结合，展示了移动操作机器人在人员难以直接进入的环境中执行复杂任务的应用潜力。[1]</w:t>
      </w:r>
      <w:r>
        <w:rPr>
          <w:rFonts w:hint="eastAsia"/>
          <w:sz w:val="20"/>
          <w:szCs w:val="20"/>
          <w:lang w:val="en-US" w:eastAsia="zh-CN"/>
        </w:rPr>
        <w:t>由此可见</w:t>
      </w:r>
      <w:r>
        <w:rPr>
          <w:rFonts w:hint="eastAsia"/>
          <w:sz w:val="20"/>
          <w:szCs w:val="20"/>
        </w:rPr>
        <w:t>，面向非结构化环境，研究兼顾移动能力与操作能力的遥操机器人具有实际意义。</w:t>
      </w:r>
    </w:p>
    <w:p w14:paraId="5B8FBFE0">
      <w:pPr>
        <w:pStyle w:val="7"/>
        <w:numPr>
          <w:ilvl w:val="0"/>
          <w:numId w:val="0"/>
        </w:numPr>
        <w:snapToGrid w:val="0"/>
        <w:rPr>
          <w:sz w:val="20"/>
        </w:rPr>
      </w:pPr>
      <w:r>
        <w:rPr>
          <w:rFonts w:hint="default" w:eastAsia="宋体"/>
          <w:sz w:val="20"/>
          <w:szCs w:val="20"/>
          <w:lang w:val="en-US" w:eastAsia="zh-CN"/>
        </w:rPr>
        <w:t>机器人相关领域已在高运动能力底盘、六自由度机械臂设计与控制、移动操作及遥操作等方向开展了较多研究，为兼顾移动与操作能力的遥操系统提供了参考。如</w:t>
      </w:r>
      <w:r>
        <w:rPr>
          <w:rFonts w:hint="eastAsia"/>
          <w:sz w:val="20"/>
          <w:szCs w:val="20"/>
          <w:lang w:val="en-US" w:eastAsia="zh-CN"/>
        </w:rPr>
        <w:t>在</w:t>
      </w:r>
      <w:r>
        <w:rPr>
          <w:rFonts w:hint="eastAsia"/>
          <w:sz w:val="20"/>
          <w:szCs w:val="20"/>
        </w:rPr>
        <w:t>轮足复合结构</w:t>
      </w:r>
      <w:r>
        <w:rPr>
          <w:rFonts w:hint="eastAsia"/>
          <w:sz w:val="20"/>
          <w:szCs w:val="20"/>
          <w:lang w:val="en-US" w:eastAsia="zh-CN"/>
        </w:rPr>
        <w:t>的研究中</w:t>
      </w:r>
      <w:r>
        <w:rPr>
          <w:rFonts w:hint="eastAsia"/>
          <w:sz w:val="20"/>
          <w:szCs w:val="20"/>
          <w:lang w:eastAsia="zh-CN"/>
        </w:rPr>
        <w:t>，</w:t>
      </w:r>
      <w:r>
        <w:rPr>
          <w:rFonts w:hint="default" w:eastAsia="宋体"/>
          <w:sz w:val="20"/>
          <w:szCs w:val="20"/>
          <w:lang w:val="en-US" w:eastAsia="zh-CN"/>
        </w:rPr>
        <w:t>Bjelonic等通过滚动约束和全身模型预测控制协调轮腿运动[2,3]；Iotti等研制的OmniQuad结合麦克纳姆轮与四足机构，实现保持朝向的平面移动[4]</w:t>
      </w:r>
      <w:r>
        <w:rPr>
          <w:rFonts w:hint="eastAsia"/>
          <w:sz w:val="20"/>
          <w:szCs w:val="20"/>
          <w:lang w:val="en-US" w:eastAsia="zh-CN"/>
        </w:rPr>
        <w:t>。</w:t>
      </w:r>
      <w:r>
        <w:rPr>
          <w:rFonts w:hint="default" w:eastAsia="宋体"/>
          <w:sz w:val="20"/>
          <w:szCs w:val="20"/>
          <w:lang w:val="en-US" w:eastAsia="zh-CN"/>
        </w:rPr>
        <w:t>Wang、Zhang和Chen等分别探索了机械臂约束下的学习控制、多构型运动控制及移动操作的全身优化[5–7]。在遥操作方面，Cruz Ulloa等采用混合现实接口控制四足机械臂机器人[8]，Uchiyama和Tobergte等则基于Delta平移机构与姿态机构构建六自由度主手[9,10]。但在面向具体机构与任务需求的系统设计中，底盘运动与机械臂操作的配合、异构主从机构的位姿映射与工作空间适配，以及机械臂遥操作与底盘运动控制的流程集成，仍具有进一步研究和工程实现的价值。</w:t>
      </w:r>
    </w:p>
    <w:p w14:paraId="20E0F9C2">
      <w:pPr>
        <w:pStyle w:val="7"/>
        <w:numPr>
          <w:ilvl w:val="0"/>
          <w:numId w:val="0"/>
        </w:numPr>
        <w:snapToGrid w:val="0"/>
        <w:rPr>
          <w:sz w:val="20"/>
        </w:rPr>
      </w:pPr>
      <w:r>
        <w:rPr>
          <w:rFonts w:hint="eastAsia"/>
          <w:sz w:val="20"/>
          <w:szCs w:val="20"/>
          <w:lang w:val="en-US" w:eastAsia="zh-CN"/>
        </w:rPr>
        <w:t>基于上述研究现状</w:t>
      </w:r>
      <w:r>
        <w:rPr>
          <w:rFonts w:hint="eastAsia"/>
          <w:sz w:val="20"/>
          <w:szCs w:val="20"/>
        </w:rPr>
        <w:t>，本文提出一种麦克纳姆轮四足移动机械臂及其异构遥操作系统。</w:t>
      </w:r>
      <w:r>
        <w:rPr>
          <w:rFonts w:hint="eastAsia"/>
          <w:sz w:val="20"/>
          <w:szCs w:val="20"/>
          <w:highlight w:val="yellow"/>
          <w:lang w:val="en-US" w:eastAsia="zh-CN"/>
        </w:rPr>
        <w:t>·</w:t>
      </w:r>
      <w:r>
        <w:rPr>
          <w:rFonts w:hint="eastAsia"/>
          <w:color w:val="FF0000"/>
          <w:sz w:val="20"/>
          <w:szCs w:val="20"/>
          <w:highlight w:val="yellow"/>
          <w:lang w:val="en-US" w:eastAsia="zh-CN"/>
        </w:rPr>
        <w:t>四轮足底盘通过力矩前馈和姿态反馈实现控制，</w:t>
      </w:r>
      <w:r>
        <w:rPr>
          <w:rFonts w:hint="eastAsia"/>
          <w:sz w:val="20"/>
          <w:szCs w:val="20"/>
        </w:rPr>
        <w:t>机器人搭载六轴机械臂及末端夹爪，主端采用 Delta 平移机构与三编码器姿态手柄，通过坐标校准、位置缩放和机械臂解析逆运动学，将主手位姿转换为关节指令。最后，通过几何计算与工作空间仿真，分析机械臂与遥操作控制器的工作空间，为结构参数选择及主从位姿映射提供依据，并通过机械臂位姿调整、遥操作抓取和连续上台阶演示，展示系统的实际执行效果。</w:t>
      </w:r>
    </w:p>
    <w:p w14:paraId="1B8FE646">
      <w:pPr>
        <w:pStyle w:val="2"/>
        <w:numPr>
          <w:ilvl w:val="0"/>
          <w:numId w:val="0"/>
        </w:numPr>
        <w:snapToGrid w:val="0"/>
      </w:pPr>
      <w:bookmarkStart w:id="2" w:name="iii.-提出的方法proposed-method"/>
      <w:r>
        <w:t>II. 提出的方法</w:t>
      </w:r>
      <w:r>
        <w:rPr>
          <w:rFonts w:hint="eastAsia"/>
        </w:rPr>
        <w:t>（Proposed</w:t>
      </w:r>
      <w:r>
        <w:t xml:space="preserve"> </w:t>
      </w:r>
      <w:r>
        <w:rPr>
          <w:rFonts w:hint="eastAsia"/>
        </w:rPr>
        <w:t>Method）</w:t>
      </w:r>
    </w:p>
    <w:p w14:paraId="33EBB027">
      <w:pPr>
        <w:pStyle w:val="3"/>
        <w:numPr>
          <w:ilvl w:val="1"/>
          <w:numId w:val="0"/>
        </w:numPr>
        <w:snapToGrid w:val="0"/>
      </w:pPr>
      <w:bookmarkStart w:id="3" w:name="a.-系统结构与符号约定"/>
      <w:r>
        <w:t xml:space="preserve">A. </w:t>
      </w:r>
      <w:r>
        <w:rPr>
          <w:rFonts w:hint="eastAsia"/>
        </w:rPr>
        <w:t>系统结构与符号约定</w:t>
      </w:r>
    </w:p>
    <w:p w14:paraId="55B0C86F">
      <w:pPr>
        <w:pStyle w:val="7"/>
        <w:numPr>
          <w:ilvl w:val="0"/>
          <w:numId w:val="0"/>
        </w:numPr>
        <w:snapToGrid w:val="0"/>
        <w:rPr>
          <w:sz w:val="20"/>
        </w:rPr>
      </w:pPr>
      <w:r>
        <w:rPr>
          <w:rFonts w:hint="eastAsia"/>
          <w:sz w:val="20"/>
          <w:szCs w:val="20"/>
        </w:rPr>
        <w:t>系统由机器人端的底盘、机械臂模块和操作者侧的 Delta 遥操作控制器组成，分别承担移动与姿态调节、末端操作和位姿输入</w:t>
      </w:r>
      <w:r>
        <w:rPr>
          <w:rFonts w:hint="eastAsia"/>
          <w:sz w:val="20"/>
          <w:szCs w:val="20"/>
          <w:lang w:val="en-US" w:eastAsia="zh-CN"/>
        </w:rPr>
        <w:t>工作</w:t>
      </w:r>
      <w:r>
        <w:rPr>
          <w:rFonts w:hint="eastAsia"/>
          <w:sz w:val="20"/>
          <w:szCs w:val="20"/>
        </w:rPr>
        <w:t>。机器人端包含十二自由度底盘、六转动关节机械臂及单自由度夹爪，共十九个主动自由度；遥操作主手的三个平移自由度与三个姿态输入自由度单独计数。机器人端与主手的模块划分及主要坐标系如 Fig. 1 所示。</w:t>
      </w:r>
    </w:p>
    <w:p w14:paraId="6F10A101">
      <w:pPr>
        <w:pStyle w:val="7"/>
        <w:numPr>
          <w:ilvl w:val="0"/>
          <w:numId w:val="0"/>
        </w:numPr>
        <w:snapToGrid w:val="0"/>
        <w:rPr>
          <w:rFonts w:hint="default" w:eastAsia="宋体"/>
          <w:sz w:val="20"/>
          <w:lang w:val="en-US" w:eastAsia="zh-CN"/>
        </w:rPr>
      </w:pPr>
      <w:r>
        <w:rPr>
          <w:rFonts w:hint="eastAsia"/>
          <w:sz w:val="20"/>
          <w:szCs w:val="20"/>
        </w:rPr>
        <w:t>底盘采用四轮足构型，每条腿由两个俯仰关节和一个麦克纳姆轮驱动自由度组成。腿部关节调节支撑高度和机身姿态，四个车轮配合实现平面全向运动。</w:t>
      </w:r>
    </w:p>
    <w:p w14:paraId="6F10A102">
      <w:pPr>
        <w:pStyle w:val="7"/>
        <w:numPr>
          <w:ilvl w:val="0"/>
          <w:numId w:val="0"/>
        </w:numPr>
        <w:snapToGrid w:val="0"/>
        <w:rPr>
          <w:rFonts w:hint="default" w:eastAsia="宋体"/>
          <w:sz w:val="20"/>
          <w:lang w:val="en-US" w:eastAsia="zh-CN"/>
        </w:rPr>
      </w:pPr>
      <w:r>
        <w:rPr>
          <w:rFonts w:hint="eastAsia"/>
          <w:sz w:val="20"/>
          <w:szCs w:val="20"/>
        </w:rPr>
        <w:t>机械臂模块安装于底盘上方，由六轴串联机械臂和夹爪组成。机械臂采用肘式臂与球腕结构，并按 Denavit–Hartenberg（DH）法定义关节坐标系；前三个关节主要确定腕心位置，后三个关节确定末端姿态；夹爪的开合自由度用于抓取。</w:t>
      </w:r>
    </w:p>
    <w:p w14:paraId="6F10A103">
      <w:pPr>
        <w:pStyle w:val="7"/>
        <w:numPr>
          <w:ilvl w:val="0"/>
          <w:numId w:val="0"/>
        </w:numPr>
        <w:snapToGrid w:val="0"/>
        <w:rPr>
          <w:sz w:val="20"/>
        </w:rPr>
      </w:pPr>
      <w:r>
        <w:rPr>
          <w:rFonts w:hint="eastAsia"/>
          <w:sz w:val="20"/>
          <w:szCs w:val="20"/>
        </w:rPr>
        <w:t>遥操作控制器作为主手，以三支链 Delta 并联机构测量三维位置，以安装在动平台上的三编码器手柄测量姿态。</w:t>
      </w:r>
      <w:r>
        <w:rPr>
          <w:rFonts w:hint="eastAsia"/>
          <w:color w:val="FF0000"/>
          <w:sz w:val="20"/>
          <w:szCs w:val="20"/>
          <w:highlight w:val="yellow"/>
        </w:rPr>
        <w:t>主手</w:t>
      </w:r>
      <w:r>
        <w:rPr>
          <w:rFonts w:hint="eastAsia"/>
          <w:sz w:val="20"/>
          <w:szCs w:val="20"/>
        </w:rPr>
        <w:t>通过正运动学获得位置和姿态，并经无线链路向作为从手的机械臂发送位姿指令；主手的力矩前馈用于补偿自身重力，减轻静态持握负担。</w:t>
      </w:r>
    </w:p>
    <w:tbl>
      <w:tblPr>
        <w:tblStyle w:val="10"/>
        <w:tblW w:w="48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30" w:type="dxa"/>
          <w:bottom w:w="0" w:type="dxa"/>
          <w:right w:w="30" w:type="dxa"/>
        </w:tblCellMar>
      </w:tblPr>
      <w:tblGrid>
        <w:gridCol w:w="2400"/>
        <w:gridCol w:w="2400"/>
      </w:tblGrid>
      <w:tr w14:paraId="43B3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0" w:type="dxa"/>
            <w:bottom w:w="0" w:type="dxa"/>
            <w:right w:w="30" w:type="dxa"/>
          </w:tblCellMar>
        </w:tblPrEx>
        <w:trPr>
          <w:cantSplit/>
          <w:jc w:val="center"/>
        </w:trPr>
        <w:tc>
          <w:tcPr>
            <w:tcW w:w="2400" w:type="dxa"/>
            <w:vAlign w:val="center"/>
          </w:tcPr>
          <w:p w14:paraId="6F100001">
            <w:pPr>
              <w:keepNext/>
              <w:keepLines/>
              <w:numPr>
                <w:ilvl w:val="0"/>
                <w:numId w:val="0"/>
              </w:numPr>
              <w:snapToGrid w:val="0"/>
              <w:spacing w:before="60" w:after="60" w:line="240" w:lineRule="auto"/>
              <w:ind w:left="0" w:right="0" w:firstLine="0"/>
              <w:jc w:val="center"/>
            </w:pPr>
            <w:r>
              <w:drawing>
                <wp:inline distT="0" distB="0" distL="0" distR="0">
                  <wp:extent cx="1475740" cy="1507490"/>
                  <wp:effectExtent l="0" t="0" r="0" b="0"/>
                  <wp:docPr id="32" name="Fig. 1" descr="Whole-robot modules and world, body, leg and arm DH base coordinat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 1" descr="Whole-robot modules and world, body, leg and arm DH base coordinate frames"/>
                          <pic:cNvPicPr>
                            <a:picLocks noChangeAspect="1"/>
                          </pic:cNvPicPr>
                        </pic:nvPicPr>
                        <pic:blipFill>
                          <a:blip r:embed="rId4"/>
                          <a:stretch>
                            <a:fillRect/>
                          </a:stretch>
                        </pic:blipFill>
                        <pic:spPr>
                          <a:xfrm>
                            <a:off x="0" y="0"/>
                            <a:ext cx="1476000" cy="1508113"/>
                          </a:xfrm>
                          <a:prstGeom prst="rect">
                            <a:avLst/>
                          </a:prstGeom>
                        </pic:spPr>
                      </pic:pic>
                    </a:graphicData>
                  </a:graphic>
                </wp:inline>
              </w:drawing>
            </w:r>
          </w:p>
        </w:tc>
        <w:tc>
          <w:tcPr>
            <w:tcW w:w="2400" w:type="dxa"/>
            <w:vAlign w:val="center"/>
          </w:tcPr>
          <w:p w14:paraId="6F100004">
            <w:pPr>
              <w:keepNext/>
              <w:keepLines/>
              <w:numPr>
                <w:ilvl w:val="0"/>
                <w:numId w:val="0"/>
              </w:numPr>
              <w:snapToGrid w:val="0"/>
              <w:spacing w:before="60" w:after="60" w:line="240" w:lineRule="auto"/>
              <w:ind w:left="0" w:right="0" w:firstLine="0"/>
              <w:jc w:val="center"/>
            </w:pPr>
            <w:r>
              <w:drawing>
                <wp:inline distT="0" distB="0" distL="0" distR="0">
                  <wp:extent cx="1475740" cy="1870710"/>
                  <wp:effectExtent l="0" t="0" r="0" b="0"/>
                  <wp:docPr id="33" name="Fig. 1(b)" descr="Teleoperation controller, Delta robot and three-axis handle with base fram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 1(b)" descr="Teleoperation controller, Delta robot and three-axis handle with base frame D"/>
                          <pic:cNvPicPr>
                            <a:picLocks noChangeAspect="1"/>
                          </pic:cNvPicPr>
                        </pic:nvPicPr>
                        <pic:blipFill>
                          <a:blip r:embed="rId5"/>
                          <a:stretch>
                            <a:fillRect/>
                          </a:stretch>
                        </pic:blipFill>
                        <pic:spPr>
                          <a:xfrm>
                            <a:off x="0" y="0"/>
                            <a:ext cx="1476000" cy="1870837"/>
                          </a:xfrm>
                          <a:prstGeom prst="rect">
                            <a:avLst/>
                          </a:prstGeom>
                        </pic:spPr>
                      </pic:pic>
                    </a:graphicData>
                  </a:graphic>
                </wp:inline>
              </w:drawing>
            </w:r>
          </w:p>
        </w:tc>
      </w:tr>
      <w:tr w14:paraId="5EA9D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0" w:type="dxa"/>
            <w:bottom w:w="0" w:type="dxa"/>
            <w:right w:w="30" w:type="dxa"/>
          </w:tblCellMar>
        </w:tblPrEx>
        <w:trPr>
          <w:cantSplit/>
          <w:jc w:val="center"/>
        </w:trPr>
        <w:tc>
          <w:tcPr>
            <w:tcW w:w="2400" w:type="dxa"/>
            <w:vAlign w:val="center"/>
          </w:tcPr>
          <w:p w14:paraId="6F100003">
            <w:pPr>
              <w:keepNext/>
              <w:keepLines/>
              <w:numPr>
                <w:ilvl w:val="0"/>
                <w:numId w:val="0"/>
              </w:numPr>
              <w:snapToGrid w:val="0"/>
              <w:spacing w:before="0" w:after="60"/>
              <w:ind w:left="0" w:right="0" w:firstLine="0"/>
              <w:jc w:val="center"/>
            </w:pPr>
            <w:r>
              <w:rPr>
                <w:rFonts w:ascii="Times New Roman" w:hAnsi="Times New Roman"/>
                <w:sz w:val="18"/>
                <w:szCs w:val="18"/>
              </w:rPr>
              <w:t>(a) Robot</w:t>
            </w:r>
          </w:p>
        </w:tc>
        <w:tc>
          <w:tcPr>
            <w:tcW w:w="2400" w:type="dxa"/>
            <w:vAlign w:val="center"/>
          </w:tcPr>
          <w:p w14:paraId="6F100005">
            <w:pPr>
              <w:keepNext/>
              <w:keepLines/>
              <w:numPr>
                <w:ilvl w:val="0"/>
                <w:numId w:val="0"/>
              </w:numPr>
              <w:snapToGrid w:val="0"/>
              <w:spacing w:before="0" w:after="60"/>
              <w:ind w:left="0" w:right="0" w:firstLine="0"/>
              <w:jc w:val="center"/>
            </w:pPr>
            <w:r>
              <w:rPr>
                <w:rFonts w:ascii="Times New Roman" w:hAnsi="Times New Roman"/>
                <w:sz w:val="18"/>
                <w:szCs w:val="18"/>
              </w:rPr>
              <w:t>(b) Teleoperation controller</w:t>
            </w:r>
          </w:p>
        </w:tc>
      </w:tr>
    </w:tbl>
    <w:p w14:paraId="6F100002">
      <w:pPr>
        <w:pStyle w:val="18"/>
        <w:keepLines/>
        <w:numPr>
          <w:ilvl w:val="0"/>
          <w:numId w:val="0"/>
        </w:numPr>
        <w:snapToGrid w:val="0"/>
      </w:pPr>
      <w:r>
        <w:t>Fig. 1. 系统模块划分与坐标系。（a）机器人端：橙色和青色分别表示机械臂模块、底盘模块；{s} 为惯性系，{b} 位于基座中心，{leg} 位于图示腿的髋关节，{0} 为机械臂 DH 基坐标系，图示前方朝右。（b）遥操作控制器：紫色区域标记整个主手，较淡的蓝色和橙色区域分别标记 Delta 机械臂和三轴手柄；{D} 的原点 O 位于静平台中心，P 为动平台中心。各坐标系均采用右手约定。</w:t>
      </w:r>
    </w:p>
    <w:p w14:paraId="06F7C4A3">
      <w:pPr>
        <w:pStyle w:val="7"/>
        <w:numPr>
          <w:ilvl w:val="0"/>
          <w:numId w:val="0"/>
        </w:numPr>
        <w:snapToGrid w:val="0"/>
        <w:rPr>
          <w:sz w:val="20"/>
        </w:rPr>
      </w:pPr>
      <w:r>
        <w:rPr>
          <w:rFonts w:hint="eastAsia"/>
          <w:sz w:val="20"/>
          <w:szCs w:val="20"/>
        </w:rPr>
        <w:t>整机控制流程如 Fig. 2 所示。底盘接收期望平动速度、加速度、基准高度及滚转、俯仰姿态角，分为关节控制器、麦克纳姆轮控制器和模型前馈三路。姿态角度—角速度双环比例（proportional，P）控制器根据惯性测量单元（inertial measurement unit，IMU）的反馈产生等效腿长增量，经累加、腿高分配和腿部逆运动学得到目标关节角，再由单关节位置—速度串级比例–积分–微分（proportional–integral–derivative，PID）控制输出控制力矩；麦克纳姆轮运动学给出轮电机目标速度，由速度环 PID 输出控制力矩。前馈侧先由单刚体动力学分配期望足端力，再经轮体动力学与腿部连杆力映射得到电机前馈力矩。关节和轮电机分别将控制器输出与对应前馈力矩相加。</w:t>
      </w:r>
    </w:p>
    <w:p w14:paraId="6F10A104">
      <w:pPr>
        <w:pStyle w:val="7"/>
        <w:numPr>
          <w:ilvl w:val="0"/>
          <w:numId w:val="0"/>
        </w:numPr>
        <w:snapToGrid w:val="0"/>
        <w:rPr>
          <w:sz w:val="20"/>
        </w:rPr>
      </w:pPr>
      <w:r>
        <w:rPr>
          <w:rFonts w:hint="eastAsia"/>
          <w:sz w:val="20"/>
          <w:szCs w:val="20"/>
        </w:rPr>
        <w:t>机械臂控制链以主手位姿为输入，经位置缩放和姿态转换构造从端目标齐次变换矩阵，再由解析逆运动学生成六轴关节目标。关节层根据编码器反馈进行位置—速度串级控制，并叠加机械臂重力前馈。由此，主手在笛卡尔空间描述操作意图，机械臂在关节空间执行指令；底盘依据自身运动指令与 IMU、编码器反馈完成移动和支撑调节。</w:t>
      </w:r>
    </w:p>
    <w:p w14:paraId="11FB4EBB">
      <w:pPr>
        <w:keepNext/>
        <w:keepLines/>
        <w:numPr>
          <w:ilvl w:val="0"/>
          <w:numId w:val="0"/>
        </w:numPr>
        <w:snapToGrid w:val="0"/>
        <w:spacing w:before="60" w:after="60" w:line="240" w:lineRule="auto"/>
        <w:ind w:left="0" w:right="0" w:firstLine="0"/>
        <w:jc w:val="center"/>
      </w:pPr>
      <w:r>
        <w:drawing>
          <wp:inline distT="0" distB="0" distL="0" distR="0">
            <wp:extent cx="3059430" cy="7368540"/>
            <wp:effectExtent l="0" t="0" r="7620" b="3810"/>
            <wp:docPr id="31" name="Fig. 2" descr="整机控制流程：遥操作与机械臂控制、底盘控制及测量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 2" descr="整机控制流程：遥操作与机械臂控制、底盘控制及测量反馈"/>
                    <pic:cNvPicPr>
                      <a:picLocks noChangeAspect="1"/>
                    </pic:cNvPicPr>
                  </pic:nvPicPr>
                  <pic:blipFill>
                    <a:blip r:embed="rId6"/>
                    <a:stretch>
                      <a:fillRect/>
                    </a:stretch>
                  </pic:blipFill>
                  <pic:spPr>
                    <a:xfrm>
                      <a:off x="0" y="0"/>
                      <a:ext cx="3060000" cy="7368980"/>
                    </a:xfrm>
                    <a:prstGeom prst="rect">
                      <a:avLst/>
                    </a:prstGeom>
                  </pic:spPr>
                </pic:pic>
              </a:graphicData>
            </a:graphic>
          </wp:inline>
        </w:drawing>
      </w:r>
    </w:p>
    <w:p w14:paraId="4CFCF1DB">
      <w:pPr>
        <w:pStyle w:val="18"/>
        <w:numPr>
          <w:ilvl w:val="0"/>
          <w:numId w:val="0"/>
        </w:numPr>
        <w:snapToGrid w:val="0"/>
      </w:pPr>
      <w:r>
        <w:rPr>
          <w:rFonts w:hint="eastAsia"/>
        </w:rPr>
        <w:t>Fig. 2. 整机控制流程。（a）遥操作位姿映射与机械臂控制。（b）底盘关节控制、麦克纳姆轮控制及前馈三路结构；单刚体动力学得到期望足端力，经轮体动力学与腿部连杆力映射得到电机前馈力矩。关节与轮电机分别将控制器输出和前馈力矩相加。实线为前向信号路径，虚线为测量反馈；FF 表示前馈（feedforward）。</w:t>
      </w:r>
    </w:p>
    <w:p w14:paraId="0BA7822D">
      <w:pPr>
        <w:pStyle w:val="7"/>
        <w:numPr>
          <w:ilvl w:val="0"/>
          <w:numId w:val="0"/>
        </w:numPr>
        <w:snapToGrid w:val="0"/>
        <w:rPr>
          <w:sz w:val="20"/>
        </w:rPr>
      </w:pPr>
      <w:r>
        <w:rPr>
          <w:rFonts w:hint="eastAsia"/>
          <w:color w:val="FF0000"/>
          <w:sz w:val="20"/>
          <w:szCs w:val="20"/>
          <w:lang w:val="en-US" w:eastAsia="zh-CN"/>
        </w:rPr>
        <w:t>为方便</w:t>
      </w:r>
      <w:r>
        <w:rPr>
          <w:rFonts w:hint="eastAsia"/>
          <w:sz w:val="20"/>
          <w:szCs w:val="20"/>
          <w:lang w:val="en-US" w:eastAsia="zh-CN"/>
        </w:rPr>
        <w:t>接下来</w:t>
      </w:r>
      <w:r>
        <w:rPr>
          <w:rFonts w:hint="eastAsia" w:ascii="Times New Roman" w:hAnsi="Times New Roman" w:eastAsia="宋体"/>
          <w:sz w:val="20"/>
          <w:szCs w:val="20"/>
          <w:lang w:val="en-US" w:eastAsia="zh-CN"/>
        </w:rPr>
        <w:t>对控制流程展开进一步详细描述，采用以下约定：</w:t>
      </w:r>
      <w:r>
        <w:rPr>
          <w:rFonts w:hint="eastAsia"/>
          <w:sz w:val="20"/>
          <w:szCs w:val="20"/>
        </w:rPr>
        <w:t>标量采用斜体，矢量采用粗斜体，矩阵采用粗正体；描</w:t>
      </w:r>
      <w:r>
        <w:rPr>
          <w:rFonts w:hint="eastAsia" w:ascii="Times New Roman" w:hAnsi="Times New Roman" w:eastAsia="宋体"/>
          <w:sz w:val="20"/>
          <w:szCs w:val="20"/>
        </w:rPr>
        <w:t>述性下标、单位和函数名称采用正体。上标</w:t>
      </w:r>
      <w:r>
        <w:rPr>
          <w:rFonts w:ascii="Times New Roman" w:hAnsi="Times New Roman" w:eastAsia="宋体"/>
          <w:sz w:val="20"/>
          <w:szCs w:val="20"/>
        </w:rPr>
        <w:t xml:space="preserve"> </w:t>
      </w:r>
      <m:oMath>
        <m:r>
          <m:rPr>
            <m:sty m:val="p"/>
          </m:rPr>
          <w:rPr>
            <w:rFonts w:ascii="Times New Roman" w:hAnsi="Times New Roman" w:eastAsia="宋体"/>
            <w:sz w:val="20"/>
            <w:szCs w:val="20"/>
          </w:rPr>
          <m:t>T</m:t>
        </m:r>
      </m:oMath>
      <w:r>
        <w:rPr>
          <w:rFonts w:ascii="Times New Roman" w:hAnsi="Times New Roman" w:eastAsia="宋体"/>
          <w:sz w:val="20"/>
          <w:szCs w:val="20"/>
        </w:rPr>
        <w:t xml:space="preserve"> </w:t>
      </w:r>
      <w:r>
        <w:rPr>
          <w:rFonts w:hint="eastAsia" w:ascii="Times New Roman" w:hAnsi="Times New Roman" w:eastAsia="宋体"/>
          <w:sz w:val="20"/>
          <w:szCs w:val="20"/>
        </w:rPr>
        <w:t>表示转置，</w:t>
      </w:r>
      <m:oMath>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表示</w:t>
      </w:r>
      <w:r>
        <w:rPr>
          <w:sz w:val="20"/>
          <w:szCs w:val="20"/>
        </w:rPr>
        <w:t xml:space="preserve"> Moore–Penrose </w:t>
      </w:r>
      <w:r>
        <w:rPr>
          <w:rFonts w:hint="eastAsia"/>
          <w:sz w:val="20"/>
          <w:szCs w:val="20"/>
        </w:rPr>
        <w:t>伪逆；</w:t>
      </w:r>
      <m:oMath>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sSub>
          <m:sSubPr/>
          <m:e>
            <m:r>
              <m:rPr>
                <m:sty m:val="p"/>
              </m:rPr>
              <w:rPr>
                <w:rFonts w:ascii="Cambria Math" w:hAnsi="Cambria Math" w:eastAsia="Cambria Math" w:cs="Cambria Math"/>
                <w:sz w:val="20"/>
                <w:szCs w:val="20"/>
              </w:rPr>
              <m:t>]</m:t>
            </m:r>
          </m:e>
          <m:sub>
            <m:r>
              <m:rPr>
                <m:sty m:val="p"/>
              </m:rPr>
              <w:rPr>
                <w:rFonts w:ascii="Cambria Math" w:hAnsi="Cambria Math" w:eastAsia="Cambria Math" w:cs="Cambria Math"/>
                <w:sz w:val="20"/>
                <w:szCs w:val="20"/>
              </w:rPr>
              <m:t>×</m:t>
            </m:r>
          </m:sub>
        </m:sSub>
        <m:r>
          <m:rPr>
            <m:sty m:val="bi"/>
          </m:rPr>
          <w:rPr>
            <w:rFonts w:ascii="Cambria Math" w:hAnsi="Cambria Math" w:eastAsia="Cambria Math" w:cs="Cambria Math"/>
            <w:sz w:val="20"/>
            <w:szCs w:val="20"/>
          </w:rPr>
          <m:t>y</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x</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y</m:t>
        </m:r>
      </m:oMath>
      <w:r>
        <w:rPr>
          <w:sz w:val="20"/>
          <w:szCs w:val="20"/>
        </w:rPr>
        <w:t>。</w:t>
      </w:r>
      <m:oMath>
        <m:sSub>
          <m:sSubPr/>
          <m:e>
            <m:r>
              <m:rPr>
                <m:sty m:val="b"/>
              </m:rPr>
              <w:rPr>
                <w:rFonts w:ascii="Cambria Math" w:hAnsi="Cambria Math" w:eastAsia="Cambria Math" w:cs="Cambria Math"/>
                <w:sz w:val="20"/>
                <w:szCs w:val="20"/>
              </w:rPr>
              <m:t>I</m:t>
            </m:r>
          </m:e>
          <m:sub>
            <m:r>
              <m:rPr/>
              <w:rPr>
                <w:rFonts w:ascii="Cambria Math" w:hAnsi="Cambria Math" w:eastAsia="Cambria Math" w:cs="Cambria Math"/>
                <w:sz w:val="20"/>
                <w:szCs w:val="20"/>
              </w:rPr>
              <m:t>n</m:t>
            </m:r>
          </m:sub>
        </m:sSub>
      </m:oMath>
      <w:r>
        <w:rPr>
          <w:sz w:val="20"/>
          <w:szCs w:val="20"/>
        </w:rPr>
        <w:t xml:space="preserve"> </w:t>
      </w:r>
      <w:r>
        <w:rPr>
          <w:rFonts w:hint="eastAsia"/>
          <w:sz w:val="20"/>
          <w:szCs w:val="20"/>
        </w:rPr>
        <w:t>为</w:t>
      </w:r>
      <w:r>
        <w:rPr>
          <w:sz w:val="20"/>
          <w:szCs w:val="20"/>
        </w:rPr>
        <w:t xml:space="preserve"> </w:t>
      </w:r>
      <m:oMath>
        <m:r>
          <m:rPr/>
          <w:rPr>
            <w:rFonts w:ascii="Cambria Math" w:hAnsi="Cambria Math" w:eastAsia="Cambria Math" w:cs="Cambria Math"/>
            <w:sz w:val="20"/>
            <w:szCs w:val="20"/>
          </w:rPr>
          <m:t>n</m:t>
        </m:r>
      </m:oMath>
      <w:r>
        <w:rPr>
          <w:sz w:val="20"/>
          <w:szCs w:val="20"/>
        </w:rPr>
        <w:t xml:space="preserve"> </w:t>
      </w:r>
      <w:r>
        <w:rPr>
          <w:rFonts w:hint="eastAsia"/>
          <w:sz w:val="20"/>
          <w:szCs w:val="20"/>
        </w:rPr>
        <w:t>阶单位矩阵，惯性张量另记为</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或</w:t>
      </w:r>
      <w:r>
        <w:rPr>
          <w:sz w:val="20"/>
          <w:szCs w:val="20"/>
        </w:rPr>
        <w:t xml:space="preserve">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hint="eastAsia"/>
          <w:sz w:val="20"/>
          <w:szCs w:val="20"/>
        </w:rPr>
        <w:t>。符号</w:t>
      </w:r>
      <w:r>
        <w:rPr>
          <w:sz w:val="20"/>
          <w:szCs w:val="20"/>
        </w:rPr>
        <w:t xml:space="preserve"> </w:t>
      </w:r>
      <m:oMath>
        <m:r>
          <m:rPr>
            <m:sty m:val="p"/>
          </m:rPr>
          <w:rPr>
            <w:rFonts w:ascii="Cambria Math" w:hAnsi="Cambria Math" w:eastAsia="Cambria Math" w:cs="Cambria Math"/>
            <w:sz w:val="20"/>
            <w:szCs w:val="20"/>
          </w:rPr>
          <m:t>d</m:t>
        </m:r>
      </m:oMath>
      <w:r>
        <w:rPr>
          <w:sz w:val="20"/>
          <w:szCs w:val="20"/>
        </w:rPr>
        <w:t>、</w:t>
      </w:r>
      <m:oMath>
        <m:r>
          <m:rPr>
            <m:sty m:val="p"/>
          </m:rPr>
          <w:rPr>
            <w:rFonts w:ascii="Cambria Math" w:hAnsi="Cambria Math" w:eastAsia="Cambria Math" w:cs="Cambria Math"/>
            <w:sz w:val="20"/>
            <w:szCs w:val="20"/>
          </w:rPr>
          <m:t>ff</m:t>
        </m:r>
      </m:oMath>
      <w:r>
        <w:rPr>
          <w:sz w:val="20"/>
          <w:szCs w:val="20"/>
        </w:rPr>
        <w:t xml:space="preserve"> </w:t>
      </w:r>
      <w:r>
        <w:rPr>
          <w:rFonts w:hint="eastAsia"/>
          <w:sz w:val="20"/>
          <w:szCs w:val="20"/>
        </w:rPr>
        <w:t>和</w:t>
      </w:r>
      <w:r>
        <w:rPr>
          <w:sz w:val="20"/>
          <w:szCs w:val="20"/>
        </w:rPr>
        <w:t xml:space="preserve"> </w:t>
      </w:r>
      <m:oMath>
        <m:r>
          <m:rPr>
            <m:sty m:val="p"/>
          </m:rPr>
          <w:rPr>
            <w:rFonts w:ascii="Cambria Math" w:hAnsi="Cambria Math" w:eastAsia="Cambria Math" w:cs="Cambria Math"/>
            <w:sz w:val="20"/>
            <w:szCs w:val="20"/>
          </w:rPr>
          <m:t>fb</m:t>
        </m:r>
      </m:oMath>
      <w:r>
        <w:rPr>
          <w:sz w:val="20"/>
          <w:szCs w:val="20"/>
        </w:rPr>
        <w:t xml:space="preserve"> </w:t>
      </w:r>
      <w:r>
        <w:rPr>
          <w:rFonts w:hint="eastAsia"/>
          <w:sz w:val="20"/>
          <w:szCs w:val="20"/>
        </w:rPr>
        <w:t>分别表示期望、前馈和反馈量。长度、时间和角度统一采用国际单位制。</w:t>
      </w:r>
      <w:r>
        <w:rPr>
          <w:rFonts w:ascii="Times New Roman" w:hAnsi="Times New Roman" w:eastAsia="宋体"/>
          <w:sz w:val="20"/>
          <w:szCs w:val="20"/>
        </w:rPr>
        <w:t>点号表示对时间求导，带期望标记时表示对应导数量的参考值；</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z</m:t>
            </m:r>
          </m:sub>
        </m:sSub>
      </m:oMath>
      <w:r>
        <w:rPr>
          <w:rFonts w:ascii="Times New Roman" w:hAnsi="Times New Roman" w:eastAsia="宋体"/>
          <w:sz w:val="20"/>
          <w:szCs w:val="20"/>
        </w:rPr>
        <w:t xml:space="preserve"> 分别表示所在坐标系的三个坐标轴单位矢量。</w:t>
      </w:r>
    </w:p>
    <w:p w14:paraId="392E0DE0">
      <w:pPr>
        <w:pStyle w:val="7"/>
        <w:numPr>
          <w:ilvl w:val="0"/>
          <w:numId w:val="0"/>
        </w:numPr>
        <w:snapToGrid w:val="0"/>
        <w:rPr>
          <w:sz w:val="20"/>
        </w:rPr>
      </w:pPr>
      <w:r>
        <w:rPr>
          <w:rFonts w:hint="eastAsia"/>
          <w:sz w:val="20"/>
          <w:szCs w:val="20"/>
        </w:rPr>
        <w:t>定义惯性系</w:t>
      </w:r>
      <w:r>
        <w:rPr>
          <w:sz w:val="20"/>
          <w:szCs w:val="20"/>
        </w:rPr>
        <w:t xml:space="preserve"> </w:t>
      </w:r>
      <m:oMath>
        <m:r>
          <m:rPr>
            <m:sty m:val="p"/>
          </m:rPr>
          <w:rPr>
            <w:rFonts w:ascii="Cambria Math" w:hAnsi="Cambria Math" w:eastAsia="Cambria Math" w:cs="Cambria Math"/>
            <w:sz w:val="20"/>
            <w:szCs w:val="20"/>
          </w:rPr>
          <m:t>{s}</m:t>
        </m:r>
      </m:oMath>
      <w:r>
        <w:rPr>
          <w:sz w:val="20"/>
          <w:szCs w:val="20"/>
        </w:rPr>
        <w:t xml:space="preserve"> </w:t>
      </w:r>
      <w:r>
        <w:rPr>
          <w:rFonts w:hint="eastAsia"/>
          <w:sz w:val="20"/>
          <w:szCs w:val="20"/>
        </w:rPr>
        <w:t>的竖直轴向上；机体系</w:t>
      </w:r>
      <w:r>
        <w:rPr>
          <w:sz w:val="20"/>
          <w:szCs w:val="20"/>
        </w:rPr>
        <w:t xml:space="preserve"> </w:t>
      </w:r>
      <m:oMath>
        <m:r>
          <m:rPr>
            <m:sty m:val="p"/>
          </m:rPr>
          <w:rPr>
            <w:rFonts w:ascii="Cambria Math" w:hAnsi="Cambria Math" w:eastAsia="Cambria Math" w:cs="Cambria Math"/>
            <w:sz w:val="20"/>
            <w:szCs w:val="20"/>
          </w:rPr>
          <m:t>{b}</m:t>
        </m:r>
      </m:oMath>
      <w:r>
        <w:rPr>
          <w:sz w:val="20"/>
          <w:szCs w:val="20"/>
        </w:rPr>
        <w:t xml:space="preserve"> </w:t>
      </w:r>
      <w:r>
        <w:rPr>
          <w:rFonts w:hint="eastAsia"/>
          <w:sz w:val="20"/>
          <w:szCs w:val="20"/>
        </w:rPr>
        <w:t>固连底盘，原点位于基座中心，</w:t>
      </w:r>
      <m:oMath>
        <m:r>
          <m:rPr/>
          <w:rPr>
            <w:rFonts w:ascii="Cambria Math" w:hAnsi="Cambria Math" w:eastAsia="Cambria Math" w:cs="Cambria Math"/>
            <w:sz w:val="20"/>
            <w:szCs w:val="20"/>
          </w:rPr>
          <m:t>x</m:t>
        </m:r>
      </m:oMath>
      <w:r>
        <w:rPr>
          <w:sz w:val="20"/>
          <w:szCs w:val="20"/>
        </w:rPr>
        <w:t xml:space="preserve"> </w:t>
      </w:r>
      <w:r>
        <w:rPr>
          <w:rFonts w:hint="eastAsia"/>
          <w:sz w:val="20"/>
          <w:szCs w:val="20"/>
        </w:rPr>
        <w:t>轴向前、</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轴向左、</w:t>
      </w:r>
      <m:oMath>
        <m:r>
          <m:rPr/>
          <w:rPr>
            <w:rFonts w:ascii="Cambria Math" w:hAnsi="Cambria Math" w:eastAsia="Cambria Math" w:cs="Cambria Math"/>
            <w:sz w:val="20"/>
            <w:szCs w:val="20"/>
          </w:rPr>
          <m:t>z</m:t>
        </m:r>
      </m:oMath>
      <w:r>
        <w:rPr>
          <w:sz w:val="20"/>
          <w:szCs w:val="20"/>
        </w:rPr>
        <w:t xml:space="preserve"> </w:t>
      </w:r>
      <w:r>
        <w:rPr>
          <w:rFonts w:hint="eastAsia"/>
          <w:sz w:val="20"/>
          <w:szCs w:val="20"/>
        </w:rPr>
        <w:t>轴向上。腿基系</w:t>
      </w:r>
      <w:r>
        <w:rPr>
          <w:sz w:val="20"/>
          <w:szCs w:val="20"/>
        </w:rPr>
        <w:t xml:space="preserve"> </w:t>
      </w:r>
      <m:oMath>
        <m:r>
          <m:rPr>
            <m:sty m:val="p"/>
          </m:rPr>
          <w:rPr>
            <w:rFonts w:ascii="Cambria Math" w:hAnsi="Cambria Math" w:eastAsia="Cambria Math" w:cs="Cambria Math"/>
            <w:sz w:val="20"/>
            <w:szCs w:val="20"/>
          </w:rPr>
          <m:t>{</m:t>
        </m:r>
        <m:sSub>
          <m:sSubPr/>
          <m:e>
            <m:r>
              <m:rPr>
                <m:sty m:val="p"/>
              </m:rPr>
              <w:rPr>
                <w:rFonts w:ascii="Cambria Math" w:hAnsi="Cambria Math" w:eastAsia="Cambria Math" w:cs="Cambria Math"/>
                <w:sz w:val="20"/>
                <w:szCs w:val="20"/>
              </w:rPr>
              <m:t>leg</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位于第</w:t>
      </w:r>
      <w:r>
        <w:rPr>
          <w:sz w:val="20"/>
          <w:szCs w:val="20"/>
        </w:rPr>
        <w:t xml:space="preserve">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个髋部，腿部运动平面为其</w:t>
      </w:r>
      <w:r>
        <w:rPr>
          <w:sz w:val="20"/>
          <w:szCs w:val="20"/>
        </w:rPr>
        <w:t xml:space="preserve"> </w:t>
      </w:r>
      <m:oMath>
        <m:r>
          <m:rPr/>
          <w:rPr>
            <w:rFonts w:ascii="Cambria Math" w:hAnsi="Cambria Math" w:eastAsia="Cambria Math" w:cs="Cambria Math"/>
            <w:sz w:val="20"/>
            <w:szCs w:val="20"/>
          </w:rPr>
          <m:t>xy</m:t>
        </m:r>
      </m:oMath>
      <w:r>
        <w:rPr>
          <w:sz w:val="20"/>
          <w:szCs w:val="20"/>
        </w:rPr>
        <w:t xml:space="preserve"> </w:t>
      </w:r>
      <w:r>
        <w:rPr>
          <w:rFonts w:hint="eastAsia"/>
          <w:sz w:val="20"/>
          <w:szCs w:val="20"/>
        </w:rPr>
        <w:t>平面。</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oMath>
      <w:r>
        <w:rPr>
          <w:sz w:val="20"/>
          <w:szCs w:val="20"/>
        </w:rPr>
        <w:t xml:space="preserve"> </w:t>
      </w:r>
      <w:r>
        <w:rPr>
          <w:rFonts w:hint="eastAsia"/>
          <w:sz w:val="20"/>
          <w:szCs w:val="20"/>
        </w:rPr>
        <w:t>将机体系分量变换至惯性系</w:t>
      </w:r>
      <w:r>
        <w:rPr>
          <w:rFonts w:hint="eastAsia"/>
          <w:sz w:val="20"/>
          <w:szCs w:val="20"/>
          <w:highlight w:val="none"/>
          <w:lang w:val="en-US" w:eastAsia="zh-CN"/>
        </w:rPr>
        <w:t>{s}</w:t>
      </w:r>
      <w:r>
        <w:rPr>
          <w:rFonts w:hint="eastAsia"/>
          <w:sz w:val="20"/>
          <w:szCs w:val="20"/>
        </w:rPr>
        <w:t>。</w:t>
      </w:r>
    </w:p>
    <w:p w14:paraId="6F10A105">
      <w:pPr>
        <w:pStyle w:val="7"/>
        <w:numPr>
          <w:ilvl w:val="0"/>
          <w:numId w:val="0"/>
        </w:numPr>
        <w:snapToGrid w:val="0"/>
        <w:rPr>
          <w:sz w:val="20"/>
        </w:rPr>
      </w:pPr>
      <w:r>
        <w:rPr>
          <w:rFonts w:hint="eastAsia"/>
          <w:sz w:val="20"/>
          <w:szCs w:val="20"/>
        </w:rPr>
        <w:t>机械臂 DH 基坐标系 {0} 位于机械臂底座安装基准处，固连于机器人端；遥操作映射中的从端基坐标系 {A} 与 {0} 表示同一坐标系。主手基坐标系 {D} 固连 D</w:t>
      </w:r>
      <w:r>
        <w:rPr>
          <w:rFonts w:hint="eastAsia" w:ascii="Times New Roman" w:hAnsi="Times New Roman" w:eastAsia="宋体"/>
          <w:sz w:val="20"/>
          <w:szCs w:val="20"/>
        </w:rPr>
        <w:t>elta 静平台，原点位于静平台中心，轴向按 II-D 节定义。主手位姿经坐标变换后</w:t>
      </w:r>
      <w:r>
        <w:rPr>
          <w:rFonts w:hint="eastAsia" w:ascii="Times New Roman" w:hAnsi="Times New Roman" w:eastAsia="宋体"/>
          <w:sz w:val="20"/>
          <w:szCs w:val="20"/>
          <w:lang w:val="en-US" w:eastAsia="zh-CN"/>
        </w:rPr>
        <w:t>再</w:t>
      </w:r>
      <w:r>
        <w:rPr>
          <w:rFonts w:hint="eastAsia" w:ascii="Times New Roman" w:hAnsi="Times New Roman" w:eastAsia="宋体"/>
          <w:sz w:val="20"/>
          <w:szCs w:val="20"/>
        </w:rPr>
        <w:t>用于从端逆运动学。</w:t>
      </w:r>
    </w:p>
    <w:bookmarkEnd w:id="3"/>
    <w:p w14:paraId="74A6E45F">
      <w:pPr>
        <w:pStyle w:val="3"/>
        <w:numPr>
          <w:ilvl w:val="1"/>
          <w:numId w:val="0"/>
        </w:numPr>
        <w:snapToGrid w:val="0"/>
      </w:pPr>
      <w:bookmarkStart w:id="4" w:name="b.-底盘模块"/>
      <w:r>
        <w:t xml:space="preserve">B. </w:t>
      </w:r>
      <w:r>
        <w:rPr>
          <w:rFonts w:hint="eastAsia"/>
        </w:rPr>
        <w:t>底盘模块</w:t>
      </w:r>
    </w:p>
    <w:p w14:paraId="05A1A8C5">
      <w:pPr>
        <w:pStyle w:val="4"/>
        <w:numPr>
          <w:ilvl w:val="2"/>
          <w:numId w:val="0"/>
        </w:numPr>
        <w:snapToGrid w:val="0"/>
      </w:pPr>
      <w:bookmarkStart w:id="5" w:name="概述与单腿运动学"/>
      <w:r>
        <w:t>1) 概述</w:t>
      </w:r>
    </w:p>
    <w:p w14:paraId="7A110001">
      <w:pPr>
        <w:pStyle w:val="7"/>
        <w:numPr>
          <w:ilvl w:val="0"/>
          <w:numId w:val="0"/>
        </w:numPr>
        <w:snapToGrid w:val="0"/>
        <w:rPr>
          <w:sz w:val="20"/>
        </w:rPr>
      </w:pPr>
      <w:r>
        <w:rPr>
          <w:rFonts w:hint="eastAsia"/>
          <w:sz w:val="20"/>
          <w:szCs w:val="20"/>
        </w:rPr>
        <w:t>底盘由基座与四条腿组成，每条腿包含轴线平行的髋部俯仰关节、膝关节和一个麦克纳姆轮，共十二个主动自由度。前后腿采用相同的几何参数，左右腿呈镜像布置。</w:t>
      </w:r>
      <w:r>
        <w:rPr>
          <w:rFonts w:hint="eastAsia"/>
          <w:sz w:val="20"/>
          <w:szCs w:val="20"/>
          <w:lang w:eastAsia="zh-CN"/>
        </w:rPr>
        <w:t>髋、膝关节电机</w:t>
      </w:r>
      <w:r>
        <w:rPr>
          <w:rFonts w:hint="eastAsia"/>
          <w:sz w:val="20"/>
          <w:szCs w:val="20"/>
        </w:rPr>
        <w:t>同轴集中布置于髋部，其中</w:t>
      </w:r>
      <w:r>
        <w:rPr>
          <w:rFonts w:hint="eastAsia"/>
          <w:sz w:val="20"/>
          <w:szCs w:val="20"/>
          <w:lang w:eastAsia="zh-CN"/>
        </w:rPr>
        <w:t>髋关节电机</w:t>
      </w:r>
      <w:r>
        <w:rPr>
          <w:rFonts w:hint="eastAsia"/>
          <w:sz w:val="20"/>
          <w:szCs w:val="20"/>
        </w:rPr>
        <w:t>直接驱动大腿，</w:t>
      </w:r>
      <w:r>
        <w:rPr>
          <w:rFonts w:hint="eastAsia"/>
          <w:sz w:val="20"/>
          <w:szCs w:val="20"/>
          <w:lang w:eastAsia="zh-CN"/>
        </w:rPr>
        <w:t>膝关节电机</w:t>
      </w:r>
      <w:r>
        <w:rPr>
          <w:rFonts w:hint="eastAsia"/>
          <w:sz w:val="20"/>
          <w:szCs w:val="20"/>
        </w:rPr>
        <w:t>通过平行四</w:t>
      </w:r>
      <w:r>
        <w:rPr>
          <w:rFonts w:ascii="Times New Roman" w:hAnsi="Times New Roman" w:eastAsia="宋体"/>
          <w:sz w:val="20"/>
          <w:szCs w:val="20"/>
        </w:rPr>
        <w:t>边形连杆向小腿传递运动与力矩</w:t>
      </w:r>
      <w:r>
        <w:rPr>
          <w:rFonts w:hint="eastAsia"/>
          <w:sz w:val="20"/>
          <w:szCs w:val="20"/>
        </w:rPr>
        <w:t>。</w:t>
      </w:r>
      <w:r>
        <w:rPr>
          <w:rFonts w:ascii="Times New Roman" w:hAnsi="Times New Roman" w:eastAsia="宋体"/>
          <w:sz w:val="20"/>
          <w:szCs w:val="20"/>
        </w:rPr>
        <w:t>该布置使膝部无需安装随腿摆动的驱动电机，</w:t>
      </w:r>
      <w:r>
        <w:rPr>
          <w:rFonts w:hint="eastAsia"/>
          <w:sz w:val="20"/>
          <w:szCs w:val="20"/>
        </w:rPr>
        <w:t>减小小腿运动时的惯性负担</w:t>
      </w:r>
      <w:r>
        <w:rPr>
          <w:rFonts w:hint="eastAsia"/>
          <w:sz w:val="20"/>
          <w:szCs w:val="20"/>
          <w:lang w:eastAsia="zh-CN"/>
        </w:rPr>
        <w:t>，</w:t>
      </w:r>
      <w:r>
        <w:rPr>
          <w:rFonts w:ascii="Times New Roman" w:hAnsi="Times New Roman" w:eastAsia="宋体"/>
          <w:sz w:val="20"/>
          <w:szCs w:val="20"/>
        </w:rPr>
        <w:t>并使轮心定位可采用等效二转动关节模型描述。</w:t>
      </w:r>
    </w:p>
    <w:p w14:paraId="7A110002">
      <w:pPr>
        <w:pStyle w:val="7"/>
        <w:numPr>
          <w:ilvl w:val="0"/>
          <w:numId w:val="0"/>
        </w:numPr>
        <w:snapToGrid w:val="0"/>
        <w:rPr>
          <w:sz w:val="20"/>
        </w:rPr>
      </w:pPr>
      <w:r>
        <w:rPr>
          <w:rFonts w:ascii="Times New Roman" w:hAnsi="Times New Roman" w:eastAsia="宋体"/>
          <w:sz w:val="20"/>
          <w:szCs w:val="20"/>
        </w:rPr>
        <w:t>控制采用“单腿建模—整机合力分配—关节执行”的分层结构。腿部关节调整支撑高度与前后轮心位置，车轮负责平面</w:t>
      </w:r>
      <w:r>
        <w:rPr>
          <w:rFonts w:hint="eastAsia"/>
          <w:sz w:val="20"/>
          <w:szCs w:val="20"/>
          <w:lang w:eastAsia="zh-CN"/>
        </w:rPr>
        <w:t>运</w:t>
      </w:r>
      <w:r>
        <w:rPr>
          <w:rFonts w:ascii="Times New Roman" w:hAnsi="Times New Roman" w:eastAsia="宋体"/>
          <w:sz w:val="20"/>
          <w:szCs w:val="20"/>
        </w:rPr>
        <w:t>动。</w:t>
      </w:r>
    </w:p>
    <w:p w14:paraId="6F10B002">
      <w:pPr>
        <w:pStyle w:val="4"/>
        <w:numPr>
          <w:ilvl w:val="2"/>
          <w:numId w:val="0"/>
        </w:numPr>
        <w:snapToGrid w:val="0"/>
      </w:pPr>
      <w:r>
        <w:t>2) 单腿运动学</w:t>
      </w:r>
    </w:p>
    <w:p w14:paraId="01C29899">
      <w:pPr>
        <w:pStyle w:val="7"/>
        <w:numPr>
          <w:ilvl w:val="0"/>
          <w:numId w:val="0"/>
        </w:numPr>
        <w:snapToGrid w:val="0"/>
        <w:rPr>
          <w:sz w:val="20"/>
        </w:rPr>
      </w:pPr>
      <w:r>
        <w:rPr>
          <w:rFonts w:hint="eastAsia"/>
          <w:sz w:val="20"/>
          <w:szCs w:val="20"/>
        </w:rPr>
        <w:t>设单腿关节角为</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，大腿和小腿长度为</w:t>
      </w:r>
      <w:r>
        <w:rPr>
          <w:sz w:val="20"/>
          <w:szCs w:val="20"/>
        </w:rPr>
        <w:t xml:space="preserve"> </w:t>
      </w:r>
      <m:oMath>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rFonts w:hint="eastAsia"/>
          <w:sz w:val="20"/>
          <w:szCs w:val="20"/>
        </w:rPr>
        <w:t>；轮心位置为</w:t>
      </w:r>
      <w:r>
        <w:rPr>
          <w:sz w:val="20"/>
          <w:szCs w:val="20"/>
        </w:rPr>
        <w:t xml:space="preserve"> </w:t>
      </w:r>
      <m:oMath>
        <m:sSubSup>
          <m:sSubSup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m:t>
            </m:r>
          </m:sub>
          <m:sup>
            <m:r>
              <m:rPr>
                <m:sty m:val="p"/>
              </m:rPr>
              <w:rPr>
                <w:rFonts w:ascii="Cambria Math" w:hAnsi="Cambria Math" w:eastAsia="Cambria Math" w:cs="Cambria Math"/>
                <w:sz w:val="20"/>
                <w:szCs w:val="20"/>
              </w:rPr>
              <m:t>leg</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。本文以轮轴中心作为单腿运动学的末端参考点，并与轮地触点区分。零位为两连杆沿腿基系负</w:t>
      </w:r>
      <w:r>
        <w:rPr>
          <w:sz w:val="20"/>
          <w:szCs w:val="20"/>
        </w:rPr>
        <w:t xml:space="preserve"> </w:t>
      </w:r>
      <m:oMath>
        <m:r>
          <m:rPr/>
          <w:rPr>
            <w:rFonts w:ascii="Cambria Math" w:hAnsi="Cambria Math" w:eastAsia="Cambria Math" w:cs="Cambria Math"/>
            <w:sz w:val="20"/>
            <w:szCs w:val="20"/>
          </w:rPr>
          <m:t>y</m:t>
        </m:r>
      </m:oMath>
      <w:r>
        <w:rPr>
          <w:sz w:val="20"/>
          <w:szCs w:val="20"/>
        </w:rPr>
        <w:t xml:space="preserve"> </w:t>
      </w:r>
      <w:r>
        <w:rPr>
          <w:rFonts w:hint="eastAsia"/>
          <w:sz w:val="20"/>
          <w:szCs w:val="20"/>
        </w:rPr>
        <w:t>轴伸直，关节角正向由下式确定。几何参数见</w:t>
      </w:r>
      <w:r>
        <w:rPr>
          <w:sz w:val="20"/>
          <w:szCs w:val="20"/>
        </w:rPr>
        <w:t xml:space="preserve"> TABLE </w:t>
      </w:r>
      <w:r>
        <w:rPr>
          <w:rFonts w:hint="eastAsia"/>
          <w:sz w:val="20"/>
          <w:szCs w:val="20"/>
        </w:rPr>
        <w:t>I，Fig. 3(a)</w:t>
      </w:r>
      <w:r>
        <w:rPr>
          <w:sz w:val="20"/>
          <w:szCs w:val="20"/>
        </w:rPr>
        <w:t xml:space="preserve"> </w:t>
      </w:r>
      <w:r>
        <w:rPr>
          <w:rFonts w:hint="eastAsia"/>
          <w:sz w:val="20"/>
          <w:szCs w:val="20"/>
        </w:rPr>
        <w:t>给出单腿结构与坐标系示意。</w:t>
      </w:r>
    </w:p>
    <w:tbl>
      <w:tblPr>
        <w:tblStyle w:val="10"/>
        <w:tblW w:w="48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2635"/>
        <w:gridCol w:w="2231"/>
      </w:tblGrid>
      <w:tr w14:paraId="71F6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cantSplit/>
          <w:jc w:val="center"/>
        </w:trPr>
        <w:tc>
          <w:tcPr>
            <w:tcW w:w="2635" w:type="dxa"/>
            <w:vAlign w:val="center"/>
          </w:tcPr>
          <w:p w14:paraId="0B118FC6">
            <w:pPr>
              <w:keepNext/>
              <w:keepLines/>
              <w:numPr>
                <w:ilvl w:val="0"/>
                <w:numId w:val="0"/>
              </w:numPr>
              <w:snapToGrid w:val="0"/>
              <w:spacing w:before="60" w:after="60" w:line="240" w:lineRule="auto"/>
              <w:ind w:left="0" w:right="0" w:firstLine="0"/>
              <w:jc w:val="center"/>
            </w:pPr>
            <w:r>
              <w:drawing>
                <wp:inline distT="0" distB="0" distL="0" distR="0">
                  <wp:extent cx="1619885" cy="2446655"/>
                  <wp:effectExtent l="0" t="0" r="0" b="0"/>
                  <wp:docPr id="24" name="Fig. 3(a)" descr="Leg structure and coordinate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 3(a)" descr="Leg structure and coordinate frames"/>
                          <pic:cNvPicPr>
                            <a:picLocks noChangeAspect="1"/>
                          </pic:cNvPicPr>
                        </pic:nvPicPr>
                        <pic:blipFill>
                          <a:blip r:embed="rId7"/>
                          <a:stretch>
                            <a:fillRect/>
                          </a:stretch>
                        </pic:blipFill>
                        <pic:spPr>
                          <a:xfrm>
                            <a:off x="0" y="0"/>
                            <a:ext cx="1620000" cy="2446829"/>
                          </a:xfrm>
                          <a:prstGeom prst="rect">
                            <a:avLst/>
                          </a:prstGeom>
                        </pic:spPr>
                      </pic:pic>
                    </a:graphicData>
                  </a:graphic>
                </wp:inline>
              </w:drawing>
            </w:r>
          </w:p>
          <w:p w14:paraId="7B340001">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(a) Leg structure</w:t>
            </w:r>
          </w:p>
        </w:tc>
        <w:tc>
          <w:tcPr>
            <w:tcW w:w="2231" w:type="dxa"/>
            <w:vAlign w:val="center"/>
          </w:tcPr>
          <w:p w14:paraId="0565082C">
            <w:pPr>
              <w:keepNext/>
              <w:numPr>
                <w:ilvl w:val="0"/>
                <w:numId w:val="0"/>
              </w:numPr>
              <w:snapToGrid w:val="0"/>
              <w:spacing w:before="0" w:after="40" w:line="240" w:lineRule="auto"/>
              <w:ind w:left="0" w:right="0" w:firstLine="0"/>
              <w:jc w:val="center"/>
            </w:pPr>
            <w:r>
              <w:drawing>
                <wp:inline distT="0" distB="0" distL="0" distR="0">
                  <wp:extent cx="1349375" cy="438785"/>
                  <wp:effectExtent l="0" t="0" r="0" b="0"/>
                  <wp:docPr id="20" name="Fig. 3(b)" descr="Type A Mecanum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 3(b)" descr="Type A Mecanum wheel"/>
                          <pic:cNvPicPr>
                            <a:picLocks noChangeAspect="1" noChangeArrowheads="1"/>
                          </pic:cNvPicPr>
                        </pic:nvPicPr>
                        <pic:blipFill>
                          <a:blip r:embed="rId8"/>
                          <a:srcRect l="4706" t="17564" r="8015" b="15381"/>
                          <a:stretch>
                            <a:fillRect/>
                          </a:stretch>
                        </pic:blipFill>
                        <pic:spPr>
                          <a:xfrm>
                            <a:off x="0" y="0"/>
                            <a:ext cx="1350000" cy="438884"/>
                          </a:xfrm>
                          <a:prstGeom prst="rect">
                            <a:avLst/>
                          </a:prstGeom>
                          <a:noFill/>
                          <a:ln w="9525">
                            <a:noFill/>
                          </a:ln>
                        </pic:spPr>
                      </pic:pic>
                    </a:graphicData>
                  </a:graphic>
                </wp:inline>
              </w:drawing>
            </w:r>
          </w:p>
          <w:p w14:paraId="3C3A4174">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(b) Type A</w:t>
            </w:r>
          </w:p>
          <w:p w14:paraId="37442ACE">
            <w:pPr>
              <w:keepNext/>
              <w:numPr>
                <w:ilvl w:val="0"/>
                <w:numId w:val="0"/>
              </w:numPr>
              <w:snapToGrid w:val="0"/>
              <w:spacing w:before="0" w:after="40" w:line="240" w:lineRule="auto"/>
              <w:ind w:left="0" w:right="0" w:firstLine="0"/>
              <w:jc w:val="center"/>
            </w:pPr>
            <w:r>
              <w:drawing>
                <wp:inline distT="0" distB="0" distL="0" distR="0">
                  <wp:extent cx="1349375" cy="431800"/>
                  <wp:effectExtent l="0" t="0" r="0" b="0"/>
                  <wp:docPr id="23" name="Fig. 3(c)" descr="Type B Mecanum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 3(c)" descr="Type B Mecanum wheel"/>
                          <pic:cNvPicPr>
                            <a:picLocks noChangeAspect="1" noChangeArrowheads="1"/>
                          </pic:cNvPicPr>
                        </pic:nvPicPr>
                        <pic:blipFill>
                          <a:blip r:embed="rId9"/>
                          <a:stretch>
                            <a:fillRect/>
                          </a:stretch>
                        </pic:blipFill>
                        <pic:spPr>
                          <a:xfrm>
                            <a:off x="0" y="0"/>
                            <a:ext cx="1350000" cy="432333"/>
                          </a:xfrm>
                          <a:prstGeom prst="rect">
                            <a:avLst/>
                          </a:prstGeom>
                          <a:noFill/>
                          <a:ln w="9525">
                            <a:noFill/>
                          </a:ln>
                        </pic:spPr>
                      </pic:pic>
                    </a:graphicData>
                  </a:graphic>
                </wp:inline>
              </w:drawing>
            </w:r>
          </w:p>
          <w:p w14:paraId="3CC11875">
            <w:pPr>
              <w:pStyle w:val="18"/>
              <w:keepNext/>
              <w:keepLines/>
              <w:numPr>
                <w:ilvl w:val="0"/>
                <w:numId w:val="0"/>
              </w:numPr>
              <w:snapToGrid w:val="0"/>
              <w:spacing w:before="0" w:after="60" w:line="240" w:lineRule="auto"/>
              <w:ind w:left="0" w:right="0" w:firstLine="0"/>
              <w:jc w:val="center"/>
            </w:pPr>
            <w:r>
              <w:rPr>
                <w:rFonts w:ascii="Times New Roman" w:hAnsi="Times New Roman"/>
                <w:sz w:val="18"/>
                <w:szCs w:val="18"/>
              </w:rPr>
              <w:t>(c) Type B</w:t>
            </w:r>
          </w:p>
        </w:tc>
      </w:tr>
    </w:tbl>
    <w:p w14:paraId="32CE6D78">
      <w:pPr>
        <w:pStyle w:val="18"/>
        <w:numPr>
          <w:ilvl w:val="0"/>
          <w:numId w:val="0"/>
        </w:numPr>
        <w:snapToGrid w:val="0"/>
      </w:pPr>
      <w:r>
        <w:rPr>
          <w:iCs/>
        </w:rPr>
        <w:t xml:space="preserve">Fig. 3. </w:t>
      </w:r>
      <w:r>
        <w:rPr>
          <w:rFonts w:hint="eastAsia"/>
          <w:iCs/>
        </w:rPr>
        <w:t>单腿与麦克纳姆轮结构。（a）单腿结构与坐标系示意，图中角度标记表示机构几何关系，解算零位以正文为准。（b）A 型麦克纳姆轮。（c）B 型麦克纳姆轮。</w:t>
      </w:r>
    </w:p>
    <w:p w14:paraId="38AB9F18">
      <w:pPr>
        <w:pStyle w:val="28"/>
        <w:keepNext/>
        <w:numPr>
          <w:ilvl w:val="0"/>
          <w:numId w:val="0"/>
        </w:numPr>
        <w:snapToGrid w:val="0"/>
      </w:pPr>
      <w:r>
        <w:rPr>
          <w:bCs/>
        </w:rPr>
        <w:t xml:space="preserve">TABLE I. </w:t>
      </w:r>
      <w:r>
        <w:rPr>
          <w:rFonts w:hint="eastAsia"/>
          <w:bCs/>
        </w:rPr>
        <w:t>单腿几何与传动参数</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63A1967D">
        <w:tblPrEx>
          <w:tblCellMar>
            <w:top w:w="0" w:type="dxa"/>
            <w:left w:w="108" w:type="dxa"/>
            <w:bottom w:w="0" w:type="dxa"/>
            <w:right w:w="108" w:type="dxa"/>
          </w:tblCellMar>
        </w:tblPrEx>
        <w:trPr>
          <w:cantSplit/>
          <w:tblHeader/>
        </w:trPr>
        <w:tc>
          <w:tcPr>
            <w:tcW w:w="1622" w:type="dxa"/>
          </w:tcPr>
          <w:p w14:paraId="0CCFCAD1">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083BD52D">
            <w:pPr>
              <w:pStyle w:val="24"/>
              <w:keepNext/>
              <w:numPr>
                <w:ilvl w:val="0"/>
                <w:numId w:val="0"/>
              </w:numPr>
              <w:snapToGrid w:val="0"/>
              <w:spacing w:before="0" w:after="0" w:line="240" w:lineRule="auto"/>
              <w:rPr>
                <w:sz w:val="16"/>
              </w:rPr>
            </w:pPr>
            <w:r>
              <w:rPr>
                <w:rFonts w:hint="eastAsia"/>
                <w:sz w:val="16"/>
                <w:szCs w:val="16"/>
              </w:rPr>
              <w:t>数值或单位</w:t>
            </w:r>
          </w:p>
        </w:tc>
        <w:tc>
          <w:tcPr>
            <w:tcW w:w="1622" w:type="dxa"/>
          </w:tcPr>
          <w:p w14:paraId="2AA1B208">
            <w:pPr>
              <w:pStyle w:val="24"/>
              <w:keepNext/>
              <w:numPr>
                <w:ilvl w:val="0"/>
                <w:numId w:val="0"/>
              </w:numPr>
              <w:snapToGrid w:val="0"/>
              <w:spacing w:before="0" w:after="0" w:line="240" w:lineRule="auto"/>
              <w:rPr>
                <w:sz w:val="16"/>
              </w:rPr>
            </w:pPr>
            <w:r>
              <w:rPr>
                <w:rFonts w:hint="eastAsia"/>
                <w:sz w:val="16"/>
                <w:szCs w:val="16"/>
              </w:rPr>
              <w:t>定义</w:t>
            </w:r>
          </w:p>
        </w:tc>
      </w:tr>
      <w:tr w14:paraId="33053C7C">
        <w:tblPrEx>
          <w:tblCellMar>
            <w:top w:w="0" w:type="dxa"/>
            <w:left w:w="108" w:type="dxa"/>
            <w:bottom w:w="0" w:type="dxa"/>
            <w:right w:w="108" w:type="dxa"/>
          </w:tblCellMar>
        </w:tblPrEx>
        <w:trPr>
          <w:cantSplit/>
        </w:trPr>
        <w:tc>
          <w:tcPr>
            <w:tcW w:w="1622" w:type="dxa"/>
          </w:tcPr>
          <w:p w14:paraId="498C22E1">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1</m:t>
                    </m:r>
                  </m:sub>
                </m:sSub>
              </m:oMath>
            </m:oMathPara>
          </w:p>
        </w:tc>
        <w:tc>
          <w:tcPr>
            <w:tcW w:w="1622" w:type="dxa"/>
          </w:tcPr>
          <w:p w14:paraId="5781D1CC">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0.170 </m:t>
                </m:r>
                <m:r>
                  <m:rPr>
                    <m:sty m:val="p"/>
                  </m:rPr>
                  <w:rPr>
                    <w:rFonts w:ascii="Cambria Math" w:hAnsi="Cambria Math" w:eastAsia="Cambria Math" w:cs="Cambria Math"/>
                    <w:sz w:val="16"/>
                    <w:szCs w:val="16"/>
                  </w:rPr>
                  <m:t>m</m:t>
                </m:r>
              </m:oMath>
            </m:oMathPara>
          </w:p>
        </w:tc>
        <w:tc>
          <w:tcPr>
            <w:tcW w:w="1622" w:type="dxa"/>
          </w:tcPr>
          <w:p w14:paraId="3617E046">
            <w:pPr>
              <w:pStyle w:val="26"/>
              <w:keepNext/>
              <w:numPr>
                <w:ilvl w:val="0"/>
                <w:numId w:val="0"/>
              </w:numPr>
              <w:snapToGrid w:val="0"/>
              <w:spacing w:before="0" w:after="0" w:line="240" w:lineRule="auto"/>
              <w:rPr>
                <w:sz w:val="16"/>
              </w:rPr>
            </w:pPr>
            <w:r>
              <w:rPr>
                <w:rFonts w:hint="eastAsia"/>
                <w:sz w:val="16"/>
                <w:szCs w:val="16"/>
              </w:rPr>
              <w:t>大腿关节中心距</w:t>
            </w:r>
            <w:r>
              <w:rPr>
                <w:sz w:val="16"/>
                <w:szCs w:val="16"/>
              </w:rPr>
              <w:t xml:space="preserve"> </w:t>
            </w:r>
          </w:p>
        </w:tc>
      </w:tr>
      <w:tr w14:paraId="6510FC3D">
        <w:tblPrEx>
          <w:tblCellMar>
            <w:top w:w="0" w:type="dxa"/>
            <w:left w:w="108" w:type="dxa"/>
            <w:bottom w:w="0" w:type="dxa"/>
            <w:right w:w="108" w:type="dxa"/>
          </w:tblCellMar>
        </w:tblPrEx>
        <w:trPr>
          <w:cantSplit/>
        </w:trPr>
        <w:tc>
          <w:tcPr>
            <w:tcW w:w="1622" w:type="dxa"/>
          </w:tcPr>
          <w:p w14:paraId="332A9855">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w:rPr>
                        <w:rFonts w:ascii="Cambria Math" w:hAnsi="Cambria Math" w:eastAsia="Cambria Math" w:cs="Cambria Math"/>
                        <w:sz w:val="16"/>
                        <w:szCs w:val="16"/>
                      </w:rPr>
                      <m:t>2</m:t>
                    </m:r>
                  </m:sub>
                </m:sSub>
              </m:oMath>
            </m:oMathPara>
          </w:p>
        </w:tc>
        <w:tc>
          <w:tcPr>
            <w:tcW w:w="1622" w:type="dxa"/>
          </w:tcPr>
          <w:p w14:paraId="5CF29403">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0.220 </m:t>
                </m:r>
                <m:r>
                  <m:rPr>
                    <m:sty m:val="p"/>
                  </m:rPr>
                  <w:rPr>
                    <w:rFonts w:ascii="Cambria Math" w:hAnsi="Cambria Math" w:eastAsia="Cambria Math" w:cs="Cambria Math"/>
                    <w:sz w:val="16"/>
                    <w:szCs w:val="16"/>
                  </w:rPr>
                  <m:t>m</m:t>
                </m:r>
              </m:oMath>
            </m:oMathPara>
          </w:p>
        </w:tc>
        <w:tc>
          <w:tcPr>
            <w:tcW w:w="1622" w:type="dxa"/>
          </w:tcPr>
          <w:p w14:paraId="7D3715F6">
            <w:pPr>
              <w:pStyle w:val="26"/>
              <w:keepNext/>
              <w:numPr>
                <w:ilvl w:val="0"/>
                <w:numId w:val="0"/>
              </w:numPr>
              <w:snapToGrid w:val="0"/>
              <w:spacing w:before="0" w:after="0" w:line="240" w:lineRule="auto"/>
              <w:rPr>
                <w:sz w:val="16"/>
              </w:rPr>
            </w:pPr>
            <w:r>
              <w:rPr>
                <w:rFonts w:hint="eastAsia"/>
                <w:sz w:val="16"/>
                <w:szCs w:val="16"/>
              </w:rPr>
              <w:t>小腿关节中心距</w:t>
            </w:r>
            <w:r>
              <w:rPr>
                <w:sz w:val="16"/>
                <w:szCs w:val="16"/>
              </w:rPr>
              <w:t xml:space="preserve"> </w:t>
            </w:r>
          </w:p>
        </w:tc>
      </w:tr>
      <w:tr w14:paraId="336D580A">
        <w:trPr>
          <w:cantSplit/>
        </w:trPr>
        <w:tc>
          <w:tcPr>
            <w:tcW w:w="1622" w:type="dxa"/>
          </w:tcPr>
          <w:p w14:paraId="4DC9C8BB">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1</m:t>
                    </m:r>
                  </m:sub>
                </m:sSub>
                <m:r>
                  <m:rPr>
                    <m:sty m:val="p"/>
                  </m:rPr>
                  <w:rPr>
                    <w:rFonts w:ascii="Cambria Math" w:hAnsi="Cambria Math" w:eastAsia="Cambria Math" w:cs="Cambria Math"/>
                    <w:sz w:val="16"/>
                    <w:szCs w:val="16"/>
                  </w:rPr>
                  <m:t>,</m:t>
                </m:r>
                <m:sSub>
                  <m:sSubPr/>
                  <m:e>
                    <m:r>
                      <m:rPr/>
                      <w:rPr>
                        <w:rFonts w:ascii="Cambria Math" w:hAnsi="Cambria Math" w:eastAsia="Cambria Math" w:cs="Cambria Math"/>
                        <w:sz w:val="16"/>
                        <w:szCs w:val="16"/>
                      </w:rPr>
                      <m:t>q</m:t>
                    </m:r>
                  </m:e>
                  <m:sub>
                    <m:r>
                      <m:rPr>
                        <m:sty m:val="p"/>
                      </m:rPr>
                      <w:rPr>
                        <w:rFonts w:ascii="Cambria Math" w:hAnsi="Cambria Math" w:eastAsia="Cambria Math" w:cs="Cambria Math"/>
                        <w:sz w:val="16"/>
                        <w:szCs w:val="16"/>
                      </w:rPr>
                      <m:t>leg,</m:t>
                    </m:r>
                    <m:r>
                      <m:rPr/>
                      <w:rPr>
                        <w:rFonts w:ascii="Cambria Math" w:hAnsi="Cambria Math" w:eastAsia="Cambria Math" w:cs="Cambria Math"/>
                        <w:sz w:val="16"/>
                        <w:szCs w:val="16"/>
                      </w:rPr>
                      <m:t>2</m:t>
                    </m:r>
                  </m:sub>
                </m:sSub>
              </m:oMath>
            </m:oMathPara>
          </w:p>
        </w:tc>
        <w:tc>
          <w:tcPr>
            <w:tcW w:w="1622" w:type="dxa"/>
          </w:tcPr>
          <w:p w14:paraId="76C5890D">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1ABC1685">
            <w:pPr>
              <w:pStyle w:val="26"/>
              <w:keepNext/>
              <w:numPr>
                <w:ilvl w:val="0"/>
                <w:numId w:val="0"/>
              </w:numPr>
              <w:snapToGrid w:val="0"/>
              <w:spacing w:before="0" w:after="0" w:line="240" w:lineRule="auto"/>
              <w:rPr>
                <w:sz w:val="16"/>
              </w:rPr>
            </w:pPr>
            <w:r>
              <w:rPr>
                <w:rFonts w:hint="eastAsia"/>
                <w:sz w:val="16"/>
                <w:szCs w:val="16"/>
              </w:rPr>
              <w:t>等效串联关节角</w:t>
            </w:r>
          </w:p>
        </w:tc>
      </w:tr>
      <w:tr w14:paraId="76CE8C87">
        <w:tblPrEx>
          <w:tblCellMar>
            <w:top w:w="0" w:type="dxa"/>
            <w:left w:w="108" w:type="dxa"/>
            <w:bottom w:w="0" w:type="dxa"/>
            <w:right w:w="108" w:type="dxa"/>
          </w:tblCellMar>
        </w:tblPrEx>
        <w:trPr>
          <w:cantSplit/>
        </w:trPr>
        <w:tc>
          <w:tcPr>
            <w:tcW w:w="1622" w:type="dxa"/>
          </w:tcPr>
          <w:p w14:paraId="5859855E">
            <w:pPr>
              <w:pStyle w:val="26"/>
              <w:keepNext/>
              <w:numPr>
                <w:ilvl w:val="0"/>
                <w:numId w:val="0"/>
              </w:numPr>
              <w:snapToGrid w:val="0"/>
              <w:spacing w:before="0" w:after="0" w:line="240" w:lineRule="auto"/>
              <w:rPr>
                <w:sz w:val="16"/>
              </w:rPr>
            </w:pPr>
            <m:oMathPara>
              <m:oMath>
                <m:sSub>
                  <m:sSubPr/>
                  <m:e>
                    <m:r>
                      <m:rPr>
                        <m:sty m:val="bi"/>
                      </m:rPr>
                      <w:rPr>
                        <w:rFonts w:ascii="Cambria Math" w:hAnsi="Cambria Math" w:eastAsia="Cambria Math" w:cs="Cambria Math"/>
                        <w:sz w:val="16"/>
                        <w:szCs w:val="16"/>
                      </w:rPr>
                      <m:t>η</m:t>
                    </m:r>
                  </m:e>
                  <m:sub>
                    <m:r>
                      <m:rPr>
                        <m:sty m:val="p"/>
                      </m:rPr>
                      <w:rPr>
                        <w:rFonts w:ascii="Cambria Math" w:hAnsi="Cambria Math" w:eastAsia="Cambria Math" w:cs="Cambria Math"/>
                        <w:sz w:val="16"/>
                        <w:szCs w:val="16"/>
                      </w:rPr>
                      <m:t>leg</m:t>
                    </m:r>
                  </m:sub>
                </m:sSub>
              </m:oMath>
            </m:oMathPara>
          </w:p>
        </w:tc>
        <w:tc>
          <w:tcPr>
            <w:tcW w:w="1622" w:type="dxa"/>
          </w:tcPr>
          <w:p w14:paraId="6F9D69D2">
            <w:pPr>
              <w:pStyle w:val="26"/>
              <w:keepNext/>
              <w:numPr>
                <w:ilvl w:val="0"/>
                <w:numId w:val="0"/>
              </w:numPr>
              <w:snapToGrid w:val="0"/>
              <w:spacing w:before="0" w:after="0" w:line="240" w:lineRule="auto"/>
              <w:rPr>
                <w:sz w:val="16"/>
              </w:rPr>
            </w:pPr>
            <m:oMathPara>
              <m:oMath>
                <m:r>
                  <m:rPr>
                    <m:sty m:val="p"/>
                  </m:rPr>
                  <w:rPr>
                    <w:rFonts w:ascii="Cambria Math" w:hAnsi="Cambria Math" w:eastAsia="Cambria Math" w:cs="Cambria Math"/>
                    <w:sz w:val="16"/>
                    <w:szCs w:val="16"/>
                  </w:rPr>
                  <m:t>rad</m:t>
                </m:r>
              </m:oMath>
            </m:oMathPara>
          </w:p>
        </w:tc>
        <w:tc>
          <w:tcPr>
            <w:tcW w:w="1622" w:type="dxa"/>
          </w:tcPr>
          <w:p w14:paraId="0DB6DF48">
            <w:pPr>
              <w:pStyle w:val="26"/>
              <w:keepNext/>
              <w:numPr>
                <w:ilvl w:val="0"/>
                <w:numId w:val="0"/>
              </w:numPr>
              <w:snapToGrid w:val="0"/>
              <w:spacing w:before="0" w:after="0" w:line="240" w:lineRule="auto"/>
              <w:rPr>
                <w:sz w:val="16"/>
              </w:rPr>
            </w:pPr>
            <w:r>
              <w:rPr>
                <w:rFonts w:hint="eastAsia"/>
                <w:sz w:val="16"/>
                <w:szCs w:val="16"/>
              </w:rPr>
              <w:t>两路髋部驱动输出轴角</w:t>
            </w:r>
          </w:p>
        </w:tc>
      </w:tr>
      <w:tr w14:paraId="4DB2870E">
        <w:tblPrEx>
          <w:tblCellMar>
            <w:top w:w="0" w:type="dxa"/>
            <w:left w:w="108" w:type="dxa"/>
            <w:bottom w:w="0" w:type="dxa"/>
            <w:right w:w="108" w:type="dxa"/>
          </w:tblCellMar>
        </w:tblPrEx>
        <w:trPr>
          <w:cantSplit/>
        </w:trPr>
        <w:tc>
          <w:tcPr>
            <w:tcW w:w="1622" w:type="dxa"/>
          </w:tcPr>
          <w:p w14:paraId="761F4959">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m</m:t>
                    </m:r>
                  </m:e>
                  <m:sub>
                    <m:r>
                      <m:rPr>
                        <m:sty m:val="p"/>
                      </m:rPr>
                      <w:rPr>
                        <w:rFonts w:ascii="Cambria Math" w:hAnsi="Cambria Math" w:eastAsia="Cambria Math" w:cs="Cambria Math"/>
                        <w:sz w:val="16"/>
                        <w:szCs w:val="16"/>
                      </w:rPr>
                      <m:t>w</m:t>
                    </m:r>
                  </m:sub>
                </m:sSub>
              </m:oMath>
            </m:oMathPara>
          </w:p>
        </w:tc>
        <w:tc>
          <w:tcPr>
            <w:tcW w:w="1622" w:type="dxa"/>
          </w:tcPr>
          <w:p w14:paraId="372BBB3D">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0.547 </m:t>
                </m:r>
                <m:r>
                  <m:rPr>
                    <m:sty m:val="p"/>
                  </m:rPr>
                  <w:rPr>
                    <w:rFonts w:ascii="Cambria Math" w:hAnsi="Cambria Math" w:eastAsia="Cambria Math" w:cs="Cambria Math"/>
                    <w:sz w:val="16"/>
                    <w:szCs w:val="16"/>
                  </w:rPr>
                  <m:t>kg</m:t>
                </m:r>
              </m:oMath>
            </m:oMathPara>
          </w:p>
        </w:tc>
        <w:tc>
          <w:tcPr>
            <w:tcW w:w="1622" w:type="dxa"/>
          </w:tcPr>
          <w:p w14:paraId="69602A6F">
            <w:pPr>
              <w:pStyle w:val="26"/>
              <w:keepNext/>
              <w:numPr>
                <w:ilvl w:val="0"/>
                <w:numId w:val="0"/>
              </w:numPr>
              <w:snapToGrid w:val="0"/>
              <w:spacing w:before="0" w:after="0" w:line="240" w:lineRule="auto"/>
              <w:rPr>
                <w:sz w:val="16"/>
              </w:rPr>
            </w:pPr>
            <w:r>
              <w:rPr>
                <w:rFonts w:hint="eastAsia"/>
                <w:sz w:val="16"/>
                <w:szCs w:val="16"/>
              </w:rPr>
              <w:t>单轮模型质量</w:t>
            </w:r>
          </w:p>
        </w:tc>
      </w:tr>
      <w:tr w14:paraId="5C436678">
        <w:tblPrEx>
          <w:tblCellMar>
            <w:top w:w="0" w:type="dxa"/>
            <w:left w:w="108" w:type="dxa"/>
            <w:bottom w:w="0" w:type="dxa"/>
            <w:right w:w="108" w:type="dxa"/>
          </w:tblCellMar>
        </w:tblPrEx>
        <w:trPr>
          <w:cantSplit/>
        </w:trPr>
        <w:tc>
          <w:tcPr>
            <w:tcW w:w="1622" w:type="dxa"/>
          </w:tcPr>
          <w:p w14:paraId="4FEDFE37">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w</m:t>
                    </m:r>
                  </m:sub>
                </m:sSub>
              </m:oMath>
            </m:oMathPara>
          </w:p>
        </w:tc>
        <w:tc>
          <w:tcPr>
            <w:tcW w:w="1622" w:type="dxa"/>
          </w:tcPr>
          <w:p w14:paraId="09FEA26A">
            <w:pPr>
              <w:pStyle w:val="26"/>
              <w:keepNext w:val="0"/>
              <w:numPr>
                <w:ilvl w:val="0"/>
                <w:numId w:val="0"/>
              </w:numPr>
              <w:snapToGrid w:val="0"/>
              <w:spacing w:before="0" w:after="0" w:line="240" w:lineRule="auto"/>
              <w:jc w:val="center"/>
              <w:rPr>
                <w:sz w:val="16"/>
              </w:rPr>
            </w:pPr>
            <w:r>
              <w:rPr>
                <w:rFonts w:hint="eastAsia" w:hAnsi="Cambria Math" w:cs="Cambria Math"/>
                <w:b w:val="0"/>
                <w:i w:val="0"/>
                <w:sz w:val="16"/>
                <w:szCs w:val="16"/>
                <w:lang w:val="en-US" w:eastAsia="zh-CN"/>
              </w:rPr>
              <w:t>0.07 </w:t>
            </w:r>
            <m:oMath>
              <m:r>
                <m:rPr>
                  <m:sty m:val="p"/>
                </m:rPr>
                <w:rPr>
                  <w:rFonts w:ascii="Cambria Math" w:hAnsi="Cambria Math" w:eastAsia="Cambria Math" w:cs="Cambria Math"/>
                  <w:sz w:val="16"/>
                  <w:szCs w:val="16"/>
                </w:rPr>
                <m:t>m</m:t>
              </m:r>
            </m:oMath>
          </w:p>
        </w:tc>
        <w:tc>
          <w:tcPr>
            <w:tcW w:w="1622" w:type="dxa"/>
          </w:tcPr>
          <w:p w14:paraId="7CE2266D">
            <w:pPr>
              <w:pStyle w:val="26"/>
              <w:keepNext w:val="0"/>
              <w:numPr>
                <w:ilvl w:val="0"/>
                <w:numId w:val="0"/>
              </w:numPr>
              <w:snapToGrid w:val="0"/>
              <w:spacing w:before="0" w:after="0" w:line="240" w:lineRule="auto"/>
              <w:rPr>
                <w:sz w:val="16"/>
              </w:rPr>
            </w:pPr>
            <w:r>
              <w:rPr>
                <w:rFonts w:hint="eastAsia"/>
                <w:sz w:val="16"/>
                <w:szCs w:val="16"/>
              </w:rPr>
              <w:t>车轮有效滚动半径</w:t>
            </w:r>
          </w:p>
        </w:tc>
      </w:tr>
    </w:tbl>
    <w:p w14:paraId="47302B5E">
      <w:pPr>
        <w:pStyle w:val="7"/>
        <w:numPr>
          <w:ilvl w:val="0"/>
          <w:numId w:val="0"/>
        </w:numPr>
        <w:snapToGrid w:val="0"/>
        <w:rPr>
          <w:sz w:val="20"/>
        </w:rPr>
      </w:pPr>
      <w:r>
        <w:rPr>
          <w:rFonts w:hint="eastAsia"/>
          <w:sz w:val="20"/>
          <w:szCs w:val="20"/>
        </w:rPr>
        <w:t>忽略连杆弹性，单腿正运动学为</w:t>
      </w:r>
    </w:p>
    <w:tbl>
      <w:tblPr>
        <w:tblStyle w:val="10"/>
        <w:tblW w:w="4866" w:type="dxa"/>
        <w:tblCaption w:val="Equation 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E2EF36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776CAE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e>
                </m:eqArr>
              </m:oMath>
            </m:oMathPara>
          </w:p>
        </w:tc>
        <w:tc>
          <w:tcPr>
            <w:tcW w:w="390" w:type="dxa"/>
            <w:vAlign w:val="center"/>
          </w:tcPr>
          <w:p w14:paraId="2292553B">
            <w:pPr>
              <w:numPr>
                <w:ilvl w:val="0"/>
                <w:numId w:val="0"/>
              </w:numPr>
              <w:snapToGrid w:val="0"/>
              <w:jc w:val="right"/>
              <w:rPr>
                <w:sz w:val="16"/>
              </w:rPr>
            </w:pPr>
            <w:r>
              <w:rPr>
                <w:sz w:val="16"/>
                <w:szCs w:val="16"/>
              </w:rPr>
              <w:t>(1)</w:t>
            </w:r>
          </w:p>
        </w:tc>
      </w:tr>
    </w:tbl>
    <w:p w14:paraId="099A10C4">
      <w:pPr>
        <w:pStyle w:val="7"/>
        <w:numPr>
          <w:ilvl w:val="0"/>
          <w:numId w:val="0"/>
        </w:numPr>
        <w:snapToGrid w:val="0"/>
        <w:rPr>
          <w:sz w:val="20"/>
        </w:rPr>
      </w:pPr>
      <w:r>
        <w:rPr>
          <w:rFonts w:hint="eastAsia"/>
          <w:sz w:val="20"/>
          <w:szCs w:val="20"/>
        </w:rPr>
        <w:t>采用轮心位于髋部下方的几何逆解分支，定义</w:t>
      </w:r>
    </w:p>
    <w:tbl>
      <w:tblPr>
        <w:tblStyle w:val="10"/>
        <w:tblW w:w="4866" w:type="dxa"/>
        <w:tblCaption w:val="Equation 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F998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A9DE8CB">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ad>
                      <m:radPr>
                        <m:degHide m:val="1"/>
                      </m:radPr>
                      <m:deg/>
                      <m:e>
                        <m:sSubSup>
                          <m:sSubSup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e>
                    </m:ra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α</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β</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e>
                </m:eqArr>
              </m:oMath>
            </m:oMathPara>
          </w:p>
        </w:tc>
        <w:tc>
          <w:tcPr>
            <w:tcW w:w="390" w:type="dxa"/>
            <w:vAlign w:val="center"/>
          </w:tcPr>
          <w:p w14:paraId="178AB10A">
            <w:pPr>
              <w:numPr>
                <w:ilvl w:val="0"/>
                <w:numId w:val="0"/>
              </w:numPr>
              <w:snapToGrid w:val="0"/>
              <w:jc w:val="right"/>
              <w:rPr>
                <w:sz w:val="16"/>
              </w:rPr>
            </w:pPr>
            <w:r>
              <w:rPr>
                <w:sz w:val="16"/>
                <w:szCs w:val="16"/>
              </w:rPr>
              <w:t>(2)</w:t>
            </w:r>
          </w:p>
        </w:tc>
      </w:tr>
    </w:tbl>
    <w:p w14:paraId="08960C30">
      <w:pPr>
        <w:pStyle w:val="7"/>
        <w:numPr>
          <w:ilvl w:val="0"/>
          <w:numId w:val="0"/>
        </w:numPr>
        <w:snapToGrid w:val="0"/>
        <w:rPr>
          <w:sz w:val="20"/>
        </w:rPr>
      </w:pPr>
      <w:r>
        <w:rPr>
          <w:rFonts w:hint="eastAsia"/>
          <w:sz w:val="20"/>
          <w:szCs w:val="20"/>
        </w:rPr>
        <w:t>令</w:t>
      </w:r>
      <w:r>
        <w:rPr>
          <w:sz w:val="20"/>
          <w:szCs w:val="20"/>
        </w:rPr>
        <w:t xml:space="preserve"> </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α</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β</m:t>
            </m:r>
          </m:e>
          <m:sub>
            <m:r>
              <m:rPr>
                <m:sty m:val="p"/>
              </m:rPr>
              <w:rPr>
                <w:rFonts w:ascii="Cambria Math" w:hAnsi="Cambria Math" w:eastAsia="Cambria Math" w:cs="Cambria Math"/>
                <w:sz w:val="20"/>
                <w:szCs w:val="20"/>
              </w:rPr>
              <m:t>leg</m:t>
            </m:r>
          </m:sub>
        </m:sSub>
      </m:oMath>
      <w:r>
        <w:rPr>
          <w:rFonts w:hint="eastAsia"/>
          <w:sz w:val="20"/>
          <w:szCs w:val="20"/>
        </w:rPr>
        <w:t>，有</w:t>
      </w:r>
    </w:p>
    <w:tbl>
      <w:tblPr>
        <w:tblStyle w:val="10"/>
        <w:tblW w:w="4866" w:type="dxa"/>
        <w:tblCaption w:val="Equation 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A0B1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432141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f>
                      <m:fPr/>
                      <m:num>
                        <m:r>
                          <m:rPr/>
                          <w:rPr>
                            <w:rFonts w:ascii="Cambria Math" w:hAnsi="Cambria Math" w:eastAsia="Cambria Math" w:cs="Cambria Math"/>
                            <w:sz w:val="18"/>
                            <w:szCs w:val="18"/>
                          </w:rPr>
                          <m:t>π</m:t>
                        </m:r>
                      </m:num>
                      <m:den>
                        <m:r>
                          <m:rPr/>
                          <w:rPr>
                            <w:rFonts w:ascii="Cambria Math" w:hAnsi="Cambria Math" w:eastAsia="Cambria Math" w:cs="Cambria Math"/>
                            <w:sz w:val="18"/>
                            <w:szCs w:val="18"/>
                          </w:rPr>
                          <m:t>2</m:t>
                        </m:r>
                      </m:den>
                    </m:f>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=atan2</m:t>
                    </m:r>
                    <m:d>
                      <m:dPr>
                        <m:sepChr m:val=""/>
                      </m:dPr>
                      <m:e>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e>
                    </m:d>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5E9B51BE">
            <w:pPr>
              <w:numPr>
                <w:ilvl w:val="0"/>
                <w:numId w:val="0"/>
              </w:numPr>
              <w:snapToGrid w:val="0"/>
              <w:jc w:val="right"/>
              <w:rPr>
                <w:sz w:val="16"/>
              </w:rPr>
            </w:pPr>
            <w:r>
              <w:rPr>
                <w:sz w:val="16"/>
                <w:szCs w:val="16"/>
              </w:rPr>
              <w:t>(3)</w:t>
            </w:r>
          </w:p>
        </w:tc>
      </w:tr>
    </w:tbl>
    <w:p w14:paraId="572E77C1">
      <w:pPr>
        <w:pStyle w:val="7"/>
        <w:numPr>
          <w:ilvl w:val="0"/>
          <w:numId w:val="0"/>
        </w:numPr>
        <w:snapToGrid w:val="0"/>
        <w:rPr>
          <w:rFonts w:hint="eastAsia" w:eastAsia="宋体"/>
          <w:sz w:val="20"/>
          <w:lang w:eastAsia="zh-CN"/>
        </w:rPr>
      </w:pPr>
      <w:r>
        <w:rPr>
          <w:rFonts w:hint="eastAsia"/>
          <w:sz w:val="20"/>
          <w:szCs w:val="20"/>
        </w:rPr>
        <w:t>逆解要求</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w:rPr>
                <w:rFonts w:ascii="Cambria Math" w:hAnsi="Cambria Math" w:eastAsia="Cambria Math" w:cs="Cambria Math"/>
                <w:sz w:val="20"/>
                <w:szCs w:val="20"/>
              </w:rPr>
              <m:t>2</m:t>
            </m:r>
          </m:sub>
        </m:sSub>
      </m:oMath>
      <w:r>
        <w:rPr>
          <w:sz w:val="20"/>
          <w:szCs w:val="20"/>
        </w:rPr>
        <w:t xml:space="preserve"> </w:t>
      </w:r>
      <w:r>
        <w:rPr>
          <w:rFonts w:hint="eastAsia"/>
          <w:sz w:val="20"/>
          <w:szCs w:val="20"/>
        </w:rPr>
        <w:t>且</w:t>
      </w:r>
      <w:r>
        <w:rPr>
          <w:sz w:val="20"/>
          <w:szCs w:val="20"/>
        </w:rPr>
        <w:t xml:space="preserve">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&gt;</m:t>
        </m:r>
        <m:r>
          <m:rPr/>
          <w:rPr>
            <w:rFonts w:ascii="Cambria Math" w:hAnsi="Cambria Math" w:eastAsia="Cambria Math" w:cs="Cambria Math"/>
            <w:sz w:val="20"/>
            <w:szCs w:val="20"/>
          </w:rPr>
          <m:t>0</m:t>
        </m:r>
      </m:oMath>
      <w:r>
        <w:rPr>
          <w:rFonts w:hint="eastAsia" w:hAnsi="Cambria Math" w:cs="Cambria Math"/>
          <w:i w:val="0"/>
          <w:sz w:val="20"/>
          <w:szCs w:val="20"/>
          <w:lang w:eastAsia="zh-CN"/>
        </w:rPr>
        <w:t>。</w:t>
      </w:r>
    </w:p>
    <w:p w14:paraId="5EADEF97">
      <w:pPr>
        <w:pStyle w:val="7"/>
        <w:numPr>
          <w:ilvl w:val="0"/>
          <w:numId w:val="0"/>
        </w:numPr>
        <w:snapToGrid w:val="0"/>
        <w:rPr>
          <w:sz w:val="20"/>
        </w:rPr>
      </w:pPr>
      <w:r>
        <w:rPr>
          <w:rFonts w:hint="eastAsia"/>
          <w:sz w:val="20"/>
          <w:szCs w:val="20"/>
        </w:rPr>
        <w:t>以</w:t>
      </w:r>
      <w:r>
        <w:rPr>
          <w:sz w:val="20"/>
          <w:szCs w:val="20"/>
        </w:rPr>
        <w:t xml:space="preserve"> </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oMath>
      <w:r>
        <w:rPr>
          <w:sz w:val="20"/>
          <w:szCs w:val="20"/>
        </w:rPr>
        <w:t>、</w:t>
      </w:r>
      <m:oMath>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w:t>
      </w:r>
      <m:oMath>
        <m:sSub>
          <m:sSubPr/>
          <m:e>
            <m:r>
              <m:rPr/>
              <w:rPr>
                <w:rFonts w:ascii="Cambria Math" w:hAnsi="Cambria Math" w:eastAsia="Cambria Math" w:cs="Cambria Math"/>
                <w:sz w:val="20"/>
                <w:szCs w:val="20"/>
              </w:rPr>
              <m:t>s</m:t>
            </m:r>
          </m:e>
          <m:sub>
            <m:r>
              <m:rPr/>
              <w:rPr>
                <w:rFonts w:ascii="Cambria Math" w:hAnsi="Cambria Math" w:eastAsia="Cambria Math" w:cs="Cambria Math"/>
                <w:sz w:val="20"/>
                <w:szCs w:val="20"/>
              </w:rPr>
              <m:t>12</m:t>
            </m:r>
          </m:sub>
        </m:sSub>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oMath>
      <w:r>
        <w:rPr>
          <w:sz w:val="20"/>
          <w:szCs w:val="20"/>
        </w:rPr>
        <w:t xml:space="preserve"> </w:t>
      </w:r>
      <w:r>
        <w:rPr>
          <w:rFonts w:hint="eastAsia"/>
          <w:sz w:val="20"/>
          <w:szCs w:val="20"/>
        </w:rPr>
        <w:t>简记，轮心雅可比为</w:t>
      </w:r>
    </w:p>
    <w:tbl>
      <w:tblPr>
        <w:tblStyle w:val="10"/>
        <w:tblW w:w="4866" w:type="dxa"/>
        <w:tblCaption w:val="Equation 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F425DA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794E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m:t>
                        </m:r>
                      </m:sub>
                      <m:sup>
                        <m:r>
                          <m:rPr>
                            <m:sty m:val="p"/>
                          </m:rPr>
                          <w:rPr>
                            <w:rFonts w:ascii="Cambria Math" w:hAnsi="Cambria Math" w:eastAsia="Cambria Math" w:cs="Cambria Math"/>
                            <w:sz w:val="18"/>
                            <w:szCs w:val="18"/>
                          </w:rPr>
                          <m:t>leg</m:t>
                        </m:r>
                      </m:sup>
                    </m:sSubSup>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den>
                </m:f>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12</m:t>
                              </m:r>
                            </m:sub>
                          </m:sSub>
                        </m:e>
                      </m:mr>
                      <m:mr>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1</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e>
                          <m:sSub>
                            <m:sSubPr/>
                            <m:e>
                              <m:r>
                                <m:rPr/>
                                <w:rPr>
                                  <w:rFonts w:ascii="Cambria Math" w:hAnsi="Cambria Math" w:eastAsia="Cambria Math" w:cs="Cambria Math"/>
                                  <w:sz w:val="18"/>
                                  <w:szCs w:val="18"/>
                                </w:rPr>
                                <m:t>L</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s</m:t>
                              </m:r>
                            </m:e>
                            <m:sub>
                              <m:r>
                                <m:rPr/>
                                <w:rPr>
                                  <w:rFonts w:ascii="Cambria Math" w:hAnsi="Cambria Math" w:eastAsia="Cambria Math" w:cs="Cambria Math"/>
                                  <w:sz w:val="18"/>
                                  <w:szCs w:val="18"/>
                                </w:rPr>
                                <m:t>12</m:t>
                              </m:r>
                            </m:sub>
                          </m:sSub>
                        </m:e>
                      </m:mr>
                      <m:mr>
                        <m:e>
                          <m:r>
                            <m:rPr/>
                            <w:rPr>
                              <w:rFonts w:ascii="Cambria Math" w:hAnsi="Cambria Math" w:eastAsia="Cambria Math" w:cs="Cambria Math"/>
                              <w:sz w:val="18"/>
                              <w:szCs w:val="18"/>
                            </w:rPr>
                            <m:t>0</m:t>
                          </m:r>
                        </m:e>
                        <m:e>
                          <m:r>
                            <m:rPr/>
                            <w:rPr>
                              <w:rFonts w:ascii="Cambria Math" w:hAnsi="Cambria Math" w:eastAsia="Cambria Math" w:cs="Cambria Math"/>
                              <w:sz w:val="18"/>
                              <w:szCs w:val="18"/>
                            </w:rPr>
                            <m:t>0</m:t>
                          </m:r>
                        </m:e>
                      </m:mr>
                    </m:m>
                  </m:e>
                </m:d>
                <m:r>
                  <m:rPr>
                    <m:sty m:val="p"/>
                  </m:rPr>
                  <w:rPr>
                    <w:rFonts w:ascii="Cambria Math" w:hAnsi="Cambria Math" w:eastAsia="Cambria Math" w:cs="Cambria Math"/>
                    <w:sz w:val="18"/>
                    <w:szCs w:val="18"/>
                  </w:rPr>
                  <m:t>.</m:t>
                </m:r>
              </m:oMath>
            </m:oMathPara>
          </w:p>
        </w:tc>
        <w:tc>
          <w:tcPr>
            <w:tcW w:w="390" w:type="dxa"/>
            <w:vAlign w:val="center"/>
          </w:tcPr>
          <w:p w14:paraId="0325C16F">
            <w:pPr>
              <w:numPr>
                <w:ilvl w:val="0"/>
                <w:numId w:val="0"/>
              </w:numPr>
              <w:snapToGrid w:val="0"/>
              <w:jc w:val="right"/>
              <w:rPr>
                <w:sz w:val="16"/>
              </w:rPr>
            </w:pPr>
            <w:r>
              <w:rPr>
                <w:sz w:val="16"/>
                <w:szCs w:val="16"/>
              </w:rPr>
              <w:t>(4)</w:t>
            </w:r>
          </w:p>
        </w:tc>
      </w:tr>
      <w:bookmarkEnd w:id="5"/>
    </w:tbl>
    <w:p w14:paraId="0DA70F03">
      <w:pPr>
        <w:pStyle w:val="4"/>
        <w:numPr>
          <w:ilvl w:val="2"/>
          <w:numId w:val="0"/>
        </w:numPr>
        <w:snapToGrid w:val="0"/>
      </w:pPr>
      <w:bookmarkStart w:id="6" w:name="麦克纳姆轮运动学"/>
      <w:r>
        <w:t>3) 麦克纳姆轮运动学</w:t>
      </w:r>
    </w:p>
    <w:p w14:paraId="1A691815">
      <w:pPr>
        <w:pStyle w:val="7"/>
        <w:numPr>
          <w:ilvl w:val="0"/>
          <w:numId w:val="0"/>
        </w:numPr>
        <w:snapToGrid w:val="0"/>
        <w:rPr>
          <w:sz w:val="20"/>
        </w:rPr>
      </w:pPr>
      <w:r>
        <w:rPr>
          <w:rFonts w:hint="eastAsia"/>
          <w:sz w:val="20"/>
          <w:szCs w:val="20"/>
        </w:rPr>
        <w:t>麦克纳姆轮由主动轮毂和沿轮缘分布的被动辊子组成，辊子手性决定侧向速度与轮毂转速之间的符号关系。Fig. 3(b) 和 (c)</w:t>
      </w:r>
      <w:r>
        <w:rPr>
          <w:sz w:val="20"/>
          <w:szCs w:val="20"/>
        </w:rPr>
        <w:t xml:space="preserve"> </w:t>
      </w:r>
      <w:r>
        <w:rPr>
          <w:rFonts w:hint="eastAsia"/>
          <w:sz w:val="20"/>
          <w:szCs w:val="20"/>
        </w:rPr>
        <w:t>给出两种轮体结构。与普通车轮相比，被动辊子允许接触点沿特定方向运动，四轮适当配置后可产生前进、侧移和偏航运动。</w:t>
      </w:r>
    </w:p>
    <w:p w14:paraId="21D146DD">
      <w:pPr>
        <w:pStyle w:val="7"/>
        <w:numPr>
          <w:ilvl w:val="0"/>
          <w:numId w:val="0"/>
        </w:numPr>
        <w:snapToGrid w:val="0"/>
        <w:rPr>
          <w:sz w:val="20"/>
        </w:rPr>
      </w:pPr>
      <w:r>
        <w:rPr>
          <w:rFonts w:ascii="Times New Roman" w:hAnsi="Times New Roman" w:eastAsia="宋体"/>
          <w:sz w:val="20"/>
          <w:szCs w:val="20"/>
        </w:rPr>
        <w:t xml:space="preserve">用 </w:t>
      </w:r>
      <m:oMath>
        <m:sSub>
          <m:sSubPr/>
          <m:e>
            <m:r>
              <m:rPr>
                <m:sty m:val="bi"/>
              </m:rPr>
              <w:rPr>
                <w:rFonts w:ascii="Cambria Math" w:hAnsi="Cambria Math" w:eastAsia="Cambria Math" w:cs="Cambria Math"/>
                <w:sz w:val="20"/>
                <w:szCs w:val="20"/>
              </w:rPr>
              <m:t>v</m:t>
            </m:r>
          </m:e>
          <m:sub>
            <m:r>
              <m:rPr/>
              <w:rPr>
                <w:rFonts w:ascii="Cambria Math" w:hAnsi="Cambria Math" w:eastAsia="Cambria Math" w:cs="Cambria Math"/>
                <w:sz w:val="20"/>
                <w:szCs w:val="20"/>
              </w:rPr>
              <m:t>i</m:t>
            </m:r>
          </m:sub>
        </m:sSub>
      </m:oMath>
      <w:r>
        <w:rPr>
          <w:rFonts w:ascii="Times New Roman" w:hAnsi="Times New Roman" w:eastAsia="宋体"/>
          <w:sz w:val="20"/>
          <w:szCs w:val="20"/>
        </w:rPr>
        <w:t xml:space="preserve"> 表示第 i 个轮心相对惯性系的速度，其分量在机体系中表示。</w:t>
      </w:r>
      <w:r>
        <w:rPr>
          <w:rFonts w:hint="eastAsia"/>
          <w:sz w:val="20"/>
          <w:szCs w:val="20"/>
        </w:rPr>
        <w:t>从俯视图左前轮起逆时针编号：</w:t>
      </w:r>
      <m:oMath>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依次为左前、左后、右后、右前。令</w:t>
      </w:r>
      <w:r>
        <w:rPr>
          <w:sz w:val="20"/>
          <w:szCs w:val="20"/>
        </w:rPr>
        <w:t xml:space="preserve">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为机体系下的轮心位置，</w:t>
      </w:r>
      <m:oMath>
        <m:sSub>
          <m:sSubPr/>
          <m:e>
            <m:r>
              <m:rPr>
                <m:sty m:val="bi"/>
              </m:rPr>
              <w:rPr>
                <w:rFonts w:ascii="Cambria Math" w:hAnsi="Cambria Math" w:eastAsia="Cambria Math" w:cs="Cambria Math"/>
                <w:sz w:val="20"/>
                <w:szCs w:val="20"/>
              </w:rPr>
              <m:t>v</m:t>
            </m:r>
          </m:e>
          <m:sub>
            <m:r>
              <m:rPr>
                <m:sty m:val="p"/>
              </m:rPr>
              <w:rPr>
                <w:rFonts w:ascii="Cambria Math" w:hAnsi="Cambria Math" w:eastAsia="Cambria Math" w:cs="Cambria Math"/>
                <w:sz w:val="20"/>
                <w:szCs w:val="20"/>
              </w:rPr>
              <m:t>b</m:t>
            </m:r>
          </m:sub>
        </m:sSub>
      </m:oMath>
      <w:r>
        <w:rPr>
          <w:sz w:val="20"/>
          <w:szCs w:val="20"/>
        </w:rPr>
        <w:t xml:space="preserve"> </w:t>
      </w:r>
      <w:r>
        <w:rPr>
          <w:rFonts w:hint="eastAsia"/>
          <w:sz w:val="20"/>
          <w:szCs w:val="20"/>
        </w:rPr>
        <w:t>为基座原点速度，机身角速度为</w:t>
      </w:r>
      <m:oMath>
        <m:sSub>
          <m:sSubPr/>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b,</m:t>
            </m:r>
            <m:r>
              <m:rPr/>
              <w:rPr>
                <w:rFonts w:ascii="Cambria Math" w:hAnsi="Cambria Math" w:eastAsia="Cambria Math" w:cs="Cambria Math"/>
                <w:sz w:val="20"/>
                <w:szCs w:val="20"/>
              </w:rPr>
              <m:t>z</m:t>
            </m:r>
          </m:sub>
        </m:sSub>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oMath>
      <w:r>
        <w:rPr>
          <w:rFonts w:hint="eastAsia"/>
          <w:sz w:val="20"/>
          <w:szCs w:val="20"/>
        </w:rPr>
        <w:t>。在基座水平、各腿相对基座静止的假设下，所有分量均在机体系表示，有</w:t>
      </w:r>
    </w:p>
    <w:tbl>
      <w:tblPr>
        <w:tblStyle w:val="10"/>
        <w:tblW w:w="4866" w:type="dxa"/>
        <w:tblCaption w:val="Equation 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2122B5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E6273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b</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oMath>
            </m:oMathPara>
          </w:p>
        </w:tc>
        <w:tc>
          <w:tcPr>
            <w:tcW w:w="390" w:type="dxa"/>
            <w:vAlign w:val="center"/>
          </w:tcPr>
          <w:p w14:paraId="0BE23C36">
            <w:pPr>
              <w:numPr>
                <w:ilvl w:val="0"/>
                <w:numId w:val="0"/>
              </w:numPr>
              <w:snapToGrid w:val="0"/>
              <w:jc w:val="right"/>
              <w:rPr>
                <w:sz w:val="16"/>
              </w:rPr>
            </w:pPr>
            <w:r>
              <w:rPr>
                <w:sz w:val="16"/>
                <w:szCs w:val="16"/>
              </w:rPr>
              <w:t>(5)</w:t>
            </w:r>
          </w:p>
        </w:tc>
      </w:tr>
    </w:tbl>
    <w:p w14:paraId="132076A3">
      <w:pPr>
        <w:pStyle w:val="7"/>
        <w:numPr>
          <w:ilvl w:val="0"/>
          <w:numId w:val="0"/>
        </w:numPr>
        <w:snapToGrid w:val="0"/>
        <w:rPr>
          <w:sz w:val="20"/>
        </w:rPr>
      </w:pPr>
      <w:r>
        <w:rPr>
          <w:rFonts w:ascii="Times New Roman" w:hAnsi="Times New Roman" w:eastAsia="宋体"/>
          <w:sz w:val="20"/>
          <w:szCs w:val="20"/>
        </w:rPr>
        <w:t xml:space="preserve">轮毂自转角速度标量记为 </w:t>
      </w:r>
      <m:oMath>
        <m:sSub>
          <m:sSubPr/>
          <m:e>
            <m:r>
              <m:rPr/>
              <w:rPr>
                <w:rFonts w:ascii="Cambria Math" w:hAnsi="Cambria Math" w:eastAsia="Cambria Math" w:cs="Cambria Math"/>
                <w:sz w:val="20"/>
                <w:szCs w:val="20"/>
              </w:rPr>
              <m:t>ω</m:t>
            </m:r>
          </m:e>
          <m:sub>
            <m:r>
              <m:rPr/>
              <w:rPr>
                <w:rFonts w:ascii="Cambria Math" w:hAnsi="Cambria Math" w:eastAsia="Cambria Math" w:cs="Cambria Math"/>
                <w:sz w:val="20"/>
                <w:szCs w:val="20"/>
              </w:rPr>
              <m:t>i</m:t>
            </m:r>
          </m:sub>
        </m:sSub>
      </m:oMath>
      <w:r>
        <w:rPr>
          <w:rFonts w:hint="eastAsia"/>
          <w:i w:val="0"/>
          <w:lang w:eastAsia="zh-CN"/>
        </w:rPr>
        <w:t>，</w:t>
      </w:r>
      <w:r>
        <w:rPr>
          <w:rFonts w:hint="eastAsia"/>
          <w:sz w:val="20"/>
          <w:szCs w:val="20"/>
        </w:rPr>
        <w:t>定义轮轴单位矢量</w:t>
      </w:r>
      <w:r>
        <w:rPr>
          <w:sz w:val="20"/>
          <w:szCs w:val="20"/>
        </w:rPr>
        <w:t xml:space="preserve"> </w:t>
      </w:r>
      <m:oMath>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、滚动单位矢量</w:t>
      </w:r>
      <w:r>
        <w:rPr>
          <w:sz w:val="20"/>
          <w:szCs w:val="20"/>
        </w:rPr>
        <w:t xml:space="preserve"> </w:t>
      </w:r>
      <m:oMath>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a</m:t>
            </m:r>
          </m:e>
          <m:sub>
            <m:r>
              <m:rPr/>
              <w:rPr>
                <w:rFonts w:ascii="Cambria Math" w:hAnsi="Cambria Math" w:eastAsia="Cambria Math" w:cs="Cambria Math"/>
                <w:sz w:val="20"/>
                <w:szCs w:val="20"/>
              </w:rPr>
              <m:t>i</m:t>
            </m:r>
          </m:sub>
        </m:sSub>
      </m:oMath>
      <w:r>
        <w:rPr>
          <w:rFonts w:hint="eastAsia"/>
          <w:sz w:val="20"/>
          <w:szCs w:val="20"/>
        </w:rPr>
        <w:t>，并规定正轮速使轮毂在接触点产生</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w</m:t>
            </m:r>
          </m:sub>
        </m:sSub>
        <m:sSub>
          <m:sSubPr/>
          <m:e>
            <m:r>
              <m:rPr/>
              <w:rPr>
                <w:rFonts w:ascii="Cambria Math" w:hAnsi="Cambria Math" w:eastAsia="Cambria Math" w:cs="Cambria Math"/>
                <w:sz w:val="20"/>
                <w:szCs w:val="20"/>
              </w:rPr>
              <m:t>ω</m:t>
            </m:r>
          </m:e>
          <m:sub>
            <m:r>
              <m:rPr/>
              <w:rPr>
                <w:rFonts w:ascii="Cambria Math" w:hAnsi="Cambria Math" w:eastAsia="Cambria Math" w:cs="Cambria Math"/>
                <w:sz w:val="20"/>
                <w:szCs w:val="20"/>
              </w:rPr>
              <m:t>i</m:t>
            </m:r>
          </m:sub>
        </m:sSub>
        <m:sSub>
          <m:sSubPr/>
          <m:e>
            <m:r>
              <m:rPr>
                <m:sty m:val="bi"/>
              </m:rPr>
              <w:rPr>
                <w:rFonts w:ascii="Cambria Math" w:hAnsi="Cambria Math" w:eastAsia="Cambria Math" w:cs="Cambria Math"/>
                <w:sz w:val="20"/>
                <w:szCs w:val="20"/>
              </w:rPr>
              <m:t>d</m:t>
            </m:r>
          </m:e>
          <m:sub>
            <m:r>
              <m:rPr/>
              <w:rPr>
                <w:rFonts w:ascii="Cambria Math" w:hAnsi="Cambria Math" w:eastAsia="Cambria Math" w:cs="Cambria Math"/>
                <w:sz w:val="20"/>
                <w:szCs w:val="20"/>
              </w:rPr>
              <m:t>i</m:t>
            </m:r>
          </m:sub>
        </m:sSub>
      </m:oMath>
      <w:r>
        <w:rPr>
          <w:sz w:val="20"/>
          <w:szCs w:val="20"/>
        </w:rPr>
        <w:t xml:space="preserve"> </w:t>
      </w:r>
      <w:r>
        <w:rPr>
          <w:rFonts w:hint="eastAsia"/>
          <w:sz w:val="20"/>
          <w:szCs w:val="20"/>
        </w:rPr>
        <w:t>的速度。令辊子自由滚动方向和轴线方向分别为</w:t>
      </w:r>
    </w:p>
    <w:tbl>
      <w:tblPr>
        <w:tblStyle w:val="10"/>
        <w:tblW w:w="4866" w:type="dxa"/>
        <w:tblCaption w:val="Equation 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264D16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291E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t</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e>
                </m:eqArr>
              </m:oMath>
            </m:oMathPara>
          </w:p>
        </w:tc>
        <w:tc>
          <w:tcPr>
            <w:tcW w:w="390" w:type="dxa"/>
            <w:vAlign w:val="center"/>
          </w:tcPr>
          <w:p w14:paraId="5F91DCD9">
            <w:pPr>
              <w:numPr>
                <w:ilvl w:val="0"/>
                <w:numId w:val="0"/>
              </w:numPr>
              <w:snapToGrid w:val="0"/>
              <w:jc w:val="right"/>
              <w:rPr>
                <w:sz w:val="16"/>
              </w:rPr>
            </w:pPr>
            <w:r>
              <w:rPr>
                <w:sz w:val="16"/>
                <w:szCs w:val="16"/>
              </w:rPr>
              <w:t>(6)</w:t>
            </w:r>
          </w:p>
        </w:tc>
      </w:tr>
    </w:tbl>
    <w:p w14:paraId="5A13411A">
      <w:pPr>
        <w:pStyle w:val="7"/>
        <w:numPr>
          <w:ilvl w:val="0"/>
          <w:numId w:val="0"/>
        </w:numPr>
        <w:snapToGrid w:val="0"/>
        <w:rPr>
          <w:sz w:val="20"/>
        </w:rPr>
      </w:pPr>
      <w:r>
        <w:rPr>
          <w:rFonts w:hint="eastAsia"/>
          <w:sz w:val="20"/>
          <w:szCs w:val="20"/>
        </w:rPr>
        <w:t>其中</w:t>
      </w:r>
      <w:r>
        <w:rPr>
          <w:sz w:val="20"/>
          <w:szCs w:val="20"/>
        </w:rPr>
        <w:t xml:space="preserve"> </w:t>
      </w:r>
      <m:oMath>
        <m:sSub>
          <m:sSubPr/>
          <m:e>
            <m:r>
              <m:rPr/>
              <w:rPr>
                <w:rFonts w:ascii="Cambria Math" w:hAnsi="Cambria Math" w:eastAsia="Cambria Math" w:cs="Cambria Math"/>
                <w:sz w:val="20"/>
                <w:szCs w:val="20"/>
              </w:rPr>
              <m:t>ϑ</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oMath>
      <w:r>
        <w:rPr>
          <w:sz w:val="20"/>
          <w:szCs w:val="20"/>
        </w:rPr>
        <w:t xml:space="preserve"> </w:t>
      </w:r>
      <w:r>
        <w:rPr>
          <w:rFonts w:hint="eastAsia"/>
          <w:sz w:val="20"/>
          <w:szCs w:val="20"/>
        </w:rPr>
        <w:t>为从轮轴方向到辊子自由滚动方向的有向角。理想接触下，沿辊子轴线的相对滑动为零，即</w:t>
      </w:r>
    </w:p>
    <w:tbl>
      <w:tblPr>
        <w:tblStyle w:val="10"/>
        <w:tblW w:w="4866" w:type="dxa"/>
        <w:tblCaption w:val="Equation 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EA6B6EE">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4029B5A">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n</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T</m:t>
                    </m:r>
                  </m:sup>
                </m:sSubSup>
                <m:d>
                  <m:dPr>
                    <m:sepChr m:val=""/>
                  </m:dPr>
                  <m:e>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e>
                </m:d>
                <m:r>
                  <m:rPr>
                    <m:sty m:val="p"/>
                  </m:rPr>
                  <w:rPr>
                    <w:rFonts w:ascii="Cambria Math" w:hAnsi="Cambria Math" w:eastAsia="Cambria Math" w:cs="Cambria Math"/>
                    <w:sz w:val="18"/>
                    <w:szCs w:val="18"/>
                  </w:rPr>
                  <m:t>=</m:t>
                </m:r>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oMath>
            </m:oMathPara>
          </w:p>
        </w:tc>
        <w:tc>
          <w:tcPr>
            <w:tcW w:w="390" w:type="dxa"/>
            <w:vAlign w:val="center"/>
          </w:tcPr>
          <w:p w14:paraId="32146FAC">
            <w:pPr>
              <w:numPr>
                <w:ilvl w:val="0"/>
                <w:numId w:val="0"/>
              </w:numPr>
              <w:snapToGrid w:val="0"/>
              <w:jc w:val="right"/>
              <w:rPr>
                <w:sz w:val="16"/>
              </w:rPr>
            </w:pPr>
            <w:r>
              <w:rPr>
                <w:sz w:val="16"/>
                <w:szCs w:val="16"/>
              </w:rPr>
              <w:t>(7)</w:t>
            </w:r>
          </w:p>
        </w:tc>
      </w:tr>
    </w:tbl>
    <w:p w14:paraId="48BD912F">
      <w:pPr>
        <w:pStyle w:val="7"/>
        <w:numPr>
          <w:ilvl w:val="0"/>
          <w:numId w:val="0"/>
        </w:numPr>
        <w:snapToGrid w:val="0"/>
        <w:rPr>
          <w:sz w:val="20"/>
        </w:rPr>
      </w:pPr>
      <w:r>
        <w:rPr>
          <w:rFonts w:hint="eastAsia"/>
          <w:sz w:val="20"/>
          <w:szCs w:val="20"/>
        </w:rPr>
        <w:t>消去被动辊子速度后得到</w:t>
      </w:r>
    </w:p>
    <w:tbl>
      <w:tblPr>
        <w:tblStyle w:val="10"/>
        <w:tblW w:w="4866" w:type="dxa"/>
        <w:tblCaption w:val="Equation 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1BD55B8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A36138E">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w:rPr>
                        <w:rFonts w:ascii="Cambria Math" w:hAnsi="Cambria Math" w:eastAsia="Cambria Math" w:cs="Cambria Math"/>
                        <w:sz w:val="18"/>
                        <w:szCs w:val="18"/>
                      </w:rPr>
                      <m:t>ω</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f>
                  <m:fPr/>
                  <m:num>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d</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v</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)tan</m:t>
                    </m:r>
                    <m:sSub>
                      <m:sSubPr/>
                      <m:e>
                        <m:r>
                          <m:rPr/>
                          <w:rPr>
                            <w:rFonts w:ascii="Cambria Math" w:hAnsi="Cambria Math" w:eastAsia="Cambria Math" w:cs="Cambria Math"/>
                            <w:sz w:val="18"/>
                            <w:szCs w:val="18"/>
                          </w:rPr>
                          <m:t>ϑ</m:t>
                        </m:r>
                      </m:e>
                      <m:sub>
                        <m:r>
                          <m:rPr/>
                          <w:rPr>
                            <w:rFonts w:ascii="Cambria Math" w:hAnsi="Cambria Math" w:eastAsia="Cambria Math" w:cs="Cambria Math"/>
                            <w:sz w:val="18"/>
                            <w:szCs w:val="18"/>
                          </w:rPr>
                          <m:t>i</m:t>
                        </m:r>
                      </m:sub>
                    </m:sSub>
                  </m:num>
                  <m:den>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w</m:t>
                        </m:r>
                      </m:sub>
                    </m:sSub>
                  </m:den>
                </m:f>
                <m:r>
                  <m:rPr>
                    <m:sty m:val="p"/>
                  </m:rPr>
                  <w:rPr>
                    <w:rFonts w:ascii="Cambria Math" w:hAnsi="Cambria Math" w:eastAsia="Cambria Math" w:cs="Cambria Math"/>
                    <w:sz w:val="18"/>
                    <w:szCs w:val="18"/>
                  </w:rPr>
                  <m:t>.</m:t>
                </m:r>
              </m:oMath>
            </m:oMathPara>
          </w:p>
        </w:tc>
        <w:tc>
          <w:tcPr>
            <w:tcW w:w="390" w:type="dxa"/>
            <w:vAlign w:val="center"/>
          </w:tcPr>
          <w:p w14:paraId="04740B4D">
            <w:pPr>
              <w:numPr>
                <w:ilvl w:val="0"/>
                <w:numId w:val="0"/>
              </w:numPr>
              <w:snapToGrid w:val="0"/>
              <w:jc w:val="right"/>
              <w:rPr>
                <w:sz w:val="16"/>
              </w:rPr>
            </w:pPr>
            <w:r>
              <w:rPr>
                <w:sz w:val="16"/>
                <w:szCs w:val="16"/>
              </w:rPr>
              <w:t>(8)</w:t>
            </w:r>
          </w:p>
        </w:tc>
      </w:tr>
    </w:tbl>
    <w:p w14:paraId="2767EC83">
      <w:pPr>
        <w:pStyle w:val="7"/>
        <w:numPr>
          <w:ilvl w:val="0"/>
          <w:numId w:val="0"/>
        </w:numPr>
        <w:snapToGrid w:val="0"/>
        <w:rPr>
          <w:rFonts w:hint="eastAsia" w:eastAsia="宋体"/>
          <w:sz w:val="20"/>
          <w:szCs w:val="20"/>
          <w:lang w:eastAsia="zh-CN"/>
        </w:rPr>
      </w:pPr>
      <w:r>
        <w:rPr>
          <w:rFonts w:hint="default"/>
          <w:sz w:val="20"/>
          <w:szCs w:val="20"/>
        </w:rPr>
        <w:t>(8)</w:t>
      </w:r>
      <w:r>
        <w:rPr>
          <w:rFonts w:hint="eastAsia"/>
          <w:sz w:val="20"/>
          <w:szCs w:val="20"/>
          <w:lang w:eastAsia="zh-CN"/>
        </w:rPr>
        <w:t>即为麦克纳姆轮底盘的逆运动学模型，可将机体速度映射为轮电机的角速度。</w:t>
      </w:r>
    </w:p>
    <w:bookmarkEnd w:id="6"/>
    <w:p w14:paraId="5844043D">
      <w:pPr>
        <w:pStyle w:val="4"/>
        <w:numPr>
          <w:ilvl w:val="2"/>
          <w:numId w:val="0"/>
        </w:numPr>
        <w:snapToGrid w:val="0"/>
      </w:pPr>
      <w:bookmarkStart w:id="7" w:name="轮体动力学与足端力映射"/>
      <w:r>
        <w:t xml:space="preserve">4) </w:t>
      </w:r>
      <w:r>
        <w:rPr>
          <w:rFonts w:hint="eastAsia"/>
          <w:lang w:eastAsia="zh-CN"/>
        </w:rPr>
        <w:t>麦克纳姆轮</w:t>
      </w:r>
      <w:r>
        <w:t>动力学与足端力映射</w:t>
      </w:r>
    </w:p>
    <w:p w14:paraId="25E699F4">
      <w:pPr>
        <w:pStyle w:val="7"/>
        <w:numPr>
          <w:ilvl w:val="0"/>
          <w:numId w:val="0"/>
        </w:numPr>
        <w:snapToGrid w:val="0"/>
        <w:rPr>
          <w:rFonts w:hint="eastAsia"/>
          <w:sz w:val="20"/>
          <w:szCs w:val="20"/>
        </w:rPr>
      </w:pPr>
      <w:r>
        <w:rPr>
          <w:rFonts w:hint="eastAsia"/>
          <w:sz w:val="20"/>
          <w:szCs w:val="20"/>
          <w:lang w:val="en-US" w:eastAsia="zh-CN"/>
        </w:rPr>
        <w:t>因为</w:t>
      </w:r>
      <w:r>
        <w:rPr>
          <w:rFonts w:hint="eastAsia"/>
          <w:sz w:val="20"/>
          <w:szCs w:val="20"/>
        </w:rPr>
        <w:t>直接对所有连杆求解完整动力学会增加参数标定与实时计算负担</w:t>
      </w:r>
      <w:r>
        <w:rPr>
          <w:rFonts w:hint="eastAsia"/>
          <w:sz w:val="20"/>
          <w:szCs w:val="20"/>
          <w:lang w:eastAsia="zh-CN"/>
        </w:rPr>
        <w:t>，</w:t>
      </w:r>
      <w:r>
        <w:rPr>
          <w:rFonts w:hint="eastAsia"/>
          <w:sz w:val="20"/>
          <w:szCs w:val="20"/>
        </w:rPr>
        <w:t>本文采用分层建模方法，先对具有独立质量的轮体建模，再通过虚功原理将</w:t>
      </w:r>
      <w:r>
        <w:rPr>
          <w:rFonts w:hint="eastAsia"/>
          <w:sz w:val="20"/>
          <w:szCs w:val="20"/>
          <w:lang w:eastAsia="zh-CN"/>
        </w:rPr>
        <w:t>足端接触力</w:t>
      </w:r>
      <w:r>
        <w:rPr>
          <w:rFonts w:hint="eastAsia"/>
          <w:sz w:val="20"/>
          <w:szCs w:val="20"/>
        </w:rPr>
        <w:t>映射到腿部</w:t>
      </w:r>
      <w:r>
        <w:rPr>
          <w:rFonts w:hint="eastAsia"/>
          <w:sz w:val="20"/>
          <w:szCs w:val="20"/>
          <w:lang w:eastAsia="zh-CN"/>
        </w:rPr>
        <w:t>关节电机</w:t>
      </w:r>
      <w:r>
        <w:rPr>
          <w:rFonts w:hint="eastAsia"/>
          <w:sz w:val="20"/>
          <w:szCs w:val="20"/>
        </w:rPr>
        <w:t>。Fig. 4 给出轮受力示意图。</w:t>
      </w:r>
    </w:p>
    <w:p w14:paraId="009A5309">
      <w:pPr>
        <w:keepNext/>
        <w:keepLines/>
        <w:numPr>
          <w:ilvl w:val="0"/>
          <w:numId w:val="0"/>
        </w:numPr>
        <w:snapToGrid w:val="0"/>
        <w:spacing w:before="60" w:after="60" w:line="240" w:lineRule="auto"/>
        <w:ind w:left="0" w:right="0" w:firstLine="0"/>
        <w:jc w:val="center"/>
      </w:pPr>
      <w:r>
        <w:drawing>
          <wp:inline distT="0" distB="0" distL="0" distR="0">
            <wp:extent cx="2879725" cy="1508125"/>
            <wp:effectExtent l="0" t="0" r="0" b="0"/>
            <wp:docPr id="25" name="Fig. 4" descr="车轮受力示意图：接触力、轴端作用力、重力、驱动力矩与力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 4" descr="车轮受力示意图：接触力、轴端作用力、重力、驱动力矩与力臂"/>
                    <pic:cNvPicPr>
                      <a:picLocks noChangeAspect="1"/>
                    </pic:cNvPicPr>
                  </pic:nvPicPr>
                  <pic:blipFill>
                    <a:blip r:embed="rId10"/>
                    <a:srcRect t="24124" b="10323"/>
                    <a:stretch>
                      <a:fillRect/>
                    </a:stretch>
                  </pic:blipFill>
                  <pic:spPr>
                    <a:xfrm>
                      <a:off x="0" y="0"/>
                      <a:ext cx="2880000" cy="1508125"/>
                    </a:xfrm>
                    <a:prstGeom prst="rect">
                      <a:avLst/>
                    </a:prstGeom>
                  </pic:spPr>
                </pic:pic>
              </a:graphicData>
            </a:graphic>
          </wp:inline>
        </w:drawing>
      </w:r>
    </w:p>
    <w:p w14:paraId="4D4F694F">
      <w:pPr>
        <w:pStyle w:val="18"/>
        <w:numPr>
          <w:ilvl w:val="0"/>
          <w:numId w:val="0"/>
        </w:numPr>
        <w:snapToGrid w:val="0"/>
      </w:pPr>
      <w:r>
        <w:rPr>
          <w:iCs/>
        </w:rPr>
        <w:t xml:space="preserve">Fig. 4. </w:t>
      </w:r>
      <w:r>
        <w:rPr>
          <w:rFonts w:hint="eastAsia"/>
          <w:iCs/>
        </w:rPr>
        <w:t>轮受力示意图：地面接触力、轴端作用力、重力、驱动力矩及轮心至接触点的力臂。</w:t>
      </w:r>
    </w:p>
    <w:p w14:paraId="1BD32F3F">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e</m:t>
            </m:r>
          </m:sub>
        </m:sSub>
      </m:oMath>
      <w:r>
        <w:rPr>
          <w:sz w:val="20"/>
          <w:szCs w:val="20"/>
        </w:rPr>
        <w:t xml:space="preserve"> </w:t>
      </w:r>
      <w:r>
        <w:rPr>
          <w:rFonts w:hint="eastAsia"/>
          <w:sz w:val="20"/>
          <w:szCs w:val="20"/>
        </w:rPr>
        <w:t>为地面对轮的作用力，</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sz w:val="20"/>
          <w:szCs w:val="20"/>
        </w:rPr>
        <w:t xml:space="preserve"> </w:t>
      </w:r>
      <w:r>
        <w:rPr>
          <w:rFonts w:hint="eastAsia"/>
          <w:sz w:val="20"/>
          <w:szCs w:val="20"/>
        </w:rPr>
        <w:t>为小腿对轮的作用力，</w:t>
      </w:r>
      <m:oMath>
        <m:sSub>
          <m:sSubPr/>
          <m:e>
            <m:r>
              <m:rPr>
                <m:sty m:val="bi"/>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c</m:t>
            </m:r>
          </m:sub>
        </m:sSub>
      </m:oMath>
      <w:r>
        <w:rPr>
          <w:sz w:val="20"/>
          <w:szCs w:val="20"/>
        </w:rPr>
        <w:t xml:space="preserve"> </w:t>
      </w:r>
      <w:r>
        <w:rPr>
          <w:rFonts w:hint="eastAsia"/>
          <w:sz w:val="20"/>
          <w:szCs w:val="20"/>
        </w:rPr>
        <w:t>为轮质心加速度，</w:t>
      </w:r>
      <m:oMath>
        <m:r>
          <m:rPr>
            <m:sty m:val="bi"/>
          </m:rPr>
          <w:rPr>
            <w:rFonts w:ascii="Cambria Math" w:hAnsi="Cambria Math" w:eastAsia="Cambria Math" w:cs="Cambria Math"/>
            <w:sz w:val="20"/>
            <w:szCs w:val="20"/>
          </w:rPr>
          <m:t>g</m:t>
        </m:r>
      </m:oMath>
      <w:r>
        <w:rPr>
          <w:sz w:val="20"/>
          <w:szCs w:val="20"/>
        </w:rPr>
        <w:t xml:space="preserve"> </w:t>
      </w:r>
      <w:r>
        <w:rPr>
          <w:rFonts w:hint="eastAsia"/>
          <w:sz w:val="20"/>
          <w:szCs w:val="20"/>
        </w:rPr>
        <w:t>为重力加速度矢量。在同一坐标系下，牛顿方程给出</w:t>
      </w:r>
    </w:p>
    <w:tbl>
      <w:tblPr>
        <w:tblStyle w:val="10"/>
        <w:tblW w:w="4866" w:type="dxa"/>
        <w:tblCaption w:val="Equation 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8F53CB0">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2B34646">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c</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m</m:t>
                    </m:r>
                  </m:e>
                  <m:sub>
                    <m:r>
                      <m:rPr>
                        <m:sty m:val="p"/>
                      </m:rPr>
                      <w:rPr>
                        <w:rFonts w:ascii="Cambria Math" w:hAnsi="Cambria Math" w:eastAsia="Cambria Math" w:cs="Cambria Math"/>
                        <w:sz w:val="18"/>
                        <w:szCs w:val="18"/>
                      </w:rPr>
                      <m:t>w</m:t>
                    </m:r>
                  </m:sub>
                </m:sSub>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oMath>
            </m:oMathPara>
          </w:p>
        </w:tc>
        <w:tc>
          <w:tcPr>
            <w:tcW w:w="390" w:type="dxa"/>
            <w:vAlign w:val="center"/>
          </w:tcPr>
          <w:p w14:paraId="608E62D4">
            <w:pPr>
              <w:numPr>
                <w:ilvl w:val="0"/>
                <w:numId w:val="0"/>
              </w:numPr>
              <w:snapToGrid w:val="0"/>
              <w:jc w:val="right"/>
              <w:rPr>
                <w:sz w:val="16"/>
              </w:rPr>
            </w:pPr>
            <w:r>
              <w:rPr>
                <w:sz w:val="16"/>
                <w:szCs w:val="16"/>
              </w:rPr>
              <w:t>(9)</w:t>
            </w:r>
          </w:p>
        </w:tc>
      </w:tr>
    </w:tbl>
    <w:p w14:paraId="2500CDD7">
      <w:pPr>
        <w:pStyle w:val="7"/>
        <w:numPr>
          <w:ilvl w:val="0"/>
          <w:numId w:val="0"/>
        </w:numPr>
        <w:snapToGrid w:val="0"/>
        <w:rPr>
          <w:sz w:val="20"/>
        </w:rPr>
      </w:pPr>
      <w:r>
        <w:rPr>
          <w:rFonts w:hint="eastAsia"/>
          <w:sz w:val="20"/>
          <w:szCs w:val="20"/>
        </w:rPr>
        <w:t>令</w:t>
      </w:r>
      <w:r>
        <w:rPr>
          <w:sz w:val="20"/>
          <w:szCs w:val="20"/>
        </w:rPr>
        <w:t xml:space="preserve"> </w:t>
      </w:r>
      <m:oMath>
        <m:sSub>
          <m:sSubPr/>
          <m:e>
            <m:r>
              <m:rPr>
                <m:sty m:val="bi"/>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ce</m:t>
            </m:r>
          </m:sub>
        </m:sSub>
      </m:oMath>
      <w:r>
        <w:rPr>
          <w:sz w:val="20"/>
          <w:szCs w:val="20"/>
        </w:rPr>
        <w:t xml:space="preserve"> </w:t>
      </w:r>
      <w:r>
        <w:rPr>
          <w:rFonts w:hint="eastAsia"/>
          <w:sz w:val="20"/>
          <w:szCs w:val="20"/>
        </w:rPr>
        <w:t>为轮质心指向触点的力臂，轮轴正向单位矢量为</w:t>
      </w:r>
      <w:r>
        <w:rPr>
          <w:sz w:val="20"/>
          <w:szCs w:val="20"/>
        </w:rPr>
        <w:t xml:space="preserve"> </w:t>
      </w:r>
      <m:oMath>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ax</m:t>
            </m:r>
          </m:sub>
        </m:sSub>
      </m:oMath>
      <w:r>
        <w:rPr>
          <w:rFonts w:hint="eastAsia"/>
          <w:sz w:val="20"/>
          <w:szCs w:val="20"/>
        </w:rPr>
        <w:t>，则轮电机轴向驱动力矩为</w:t>
      </w:r>
    </w:p>
    <w:tbl>
      <w:tblPr>
        <w:tblStyle w:val="10"/>
        <w:tblW w:w="4866" w:type="dxa"/>
        <w:tblCaption w:val="Equation 1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4A53A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626125">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ax</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acc>
                          <m:accPr>
                            <m:chr m:val="̇"/>
                          </m:accPr>
                          <m:e>
                            <m:r>
                              <m:rPr>
                                <m:sty m:val="bi"/>
                              </m:rPr>
                              <w:rPr>
                                <w:rFonts w:ascii="Cambria Math" w:hAnsi="Cambria Math" w:eastAsia="Cambria Math" w:cs="Cambria Math"/>
                                <w:sz w:val="18"/>
                                <w:szCs w:val="18"/>
                              </w:rPr>
                              <m:t>ω</m:t>
                            </m:r>
                          </m:e>
                        </m:acc>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c</m:t>
                        </m:r>
                      </m:sub>
                    </m:sSub>
                    <m:sSub>
                      <m:sSubPr/>
                      <m:e>
                        <m:r>
                          <m:rPr>
                            <m:sty m:val="bi"/>
                          </m:rPr>
                          <w:rPr>
                            <w:rFonts w:ascii="Cambria Math" w:hAnsi="Cambria Math" w:eastAsia="Cambria Math" w:cs="Cambria Math"/>
                            <w:sz w:val="18"/>
                            <w:szCs w:val="18"/>
                          </w:rPr>
                          <m:t>ω</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ce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e>
                </m:eqArr>
              </m:oMath>
            </m:oMathPara>
          </w:p>
        </w:tc>
        <w:tc>
          <w:tcPr>
            <w:tcW w:w="390" w:type="dxa"/>
            <w:vAlign w:val="center"/>
          </w:tcPr>
          <w:p w14:paraId="4DA5BE6F">
            <w:pPr>
              <w:numPr>
                <w:ilvl w:val="0"/>
                <w:numId w:val="0"/>
              </w:numPr>
              <w:snapToGrid w:val="0"/>
              <w:jc w:val="right"/>
              <w:rPr>
                <w:sz w:val="16"/>
              </w:rPr>
            </w:pPr>
            <w:r>
              <w:rPr>
                <w:sz w:val="16"/>
                <w:szCs w:val="16"/>
              </w:rPr>
              <w:t>(10)</w:t>
            </w:r>
          </w:p>
        </w:tc>
      </w:tr>
    </w:tbl>
    <w:p w14:paraId="0D73C8B0">
      <w:pPr>
        <w:pStyle w:val="7"/>
        <w:numPr>
          <w:ilvl w:val="0"/>
          <w:numId w:val="0"/>
        </w:numPr>
        <w:snapToGrid w:val="0"/>
        <w:rPr>
          <w:sz w:val="20"/>
        </w:rPr>
      </w:pPr>
      <w:r>
        <w:rPr>
          <w:rFonts w:ascii="Times New Roman" w:hAnsi="Times New Roman" w:eastAsia="宋体"/>
          <w:sz w:val="20"/>
          <w:szCs w:val="20"/>
        </w:rPr>
        <w:t>其中，</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c</m:t>
            </m:r>
          </m:sub>
        </m:sSub>
      </m:oMath>
      <w:r>
        <w:rPr>
          <w:rFonts w:ascii="Times New Roman" w:hAnsi="Times New Roman" w:eastAsia="宋体"/>
          <w:sz w:val="20"/>
          <w:szCs w:val="20"/>
        </w:rPr>
        <w:t xml:space="preserve"> 为轮关于质心的惯性张量，</w:t>
      </w:r>
      <m:oMath>
        <m:sSub>
          <m:sSubPr/>
          <m:e>
            <m:r>
              <m:rPr>
                <m:sty m:val="bi"/>
              </m:rPr>
              <w:rPr>
                <w:rFonts w:ascii="Cambria Math" w:hAnsi="Cambria Math" w:eastAsia="Cambria Math" w:cs="Cambria Math"/>
                <w:sz w:val="20"/>
                <w:szCs w:val="20"/>
              </w:rPr>
              <m:t>ω</m:t>
            </m:r>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为轮体相对惯性系的角速度，</w:t>
      </w:r>
      <m:oMath>
        <m:sSub>
          <m:sSubPr/>
          <m:e>
            <m:acc>
              <m:accPr>
                <m:chr m:val="̇"/>
              </m:accPr>
              <m:e>
                <m:r>
                  <m:rPr>
                    <m:sty m:val="bi"/>
                  </m:rPr>
                  <w:rPr>
                    <w:rFonts w:ascii="Cambria Math" w:hAnsi="Cambria Math" w:eastAsia="Cambria Math" w:cs="Cambria Math"/>
                    <w:sz w:val="20"/>
                    <w:szCs w:val="20"/>
                  </w:rPr>
                  <m:t>ω</m:t>
                </m:r>
              </m:e>
            </m:acc>
          </m:e>
          <m:sub>
            <m:r>
              <m:rPr>
                <m:sty m:val="p"/>
              </m:rPr>
              <w:rPr>
                <w:rFonts w:ascii="Cambria Math" w:hAnsi="Cambria Math" w:eastAsia="Cambria Math" w:cs="Cambria Math"/>
                <w:sz w:val="20"/>
                <w:szCs w:val="20"/>
              </w:rPr>
              <m:t>w</m:t>
            </m:r>
          </m:sub>
        </m:sSub>
      </m:oMath>
      <w:r>
        <w:rPr>
          <w:rFonts w:ascii="Times New Roman" w:hAnsi="Times New Roman" w:eastAsia="宋体"/>
          <w:sz w:val="20"/>
          <w:szCs w:val="20"/>
        </w:rPr>
        <w:t xml:space="preserve"> 为角加速度；上述量均以同一坐标系的分量参与运算。</w:t>
      </w:r>
    </w:p>
    <w:p w14:paraId="3607322F">
      <w:pPr>
        <w:pStyle w:val="7"/>
        <w:numPr>
          <w:ilvl w:val="0"/>
          <w:numId w:val="0"/>
        </w:numPr>
        <w:snapToGrid w:val="0"/>
        <w:rPr>
          <w:sz w:val="20"/>
        </w:rPr>
      </w:pPr>
      <w:r>
        <w:rPr>
          <w:rFonts w:hint="eastAsia"/>
          <w:sz w:val="20"/>
          <w:szCs w:val="20"/>
        </w:rPr>
        <w:t>设腿部等效关节角与驱动输出轴角满足</w:t>
      </w:r>
    </w:p>
    <w:tbl>
      <w:tblPr>
        <w:tblStyle w:val="10"/>
        <w:tblW w:w="4866" w:type="dxa"/>
        <w:tblCaption w:val="Equation 1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214B4C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D19EE59">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sSub>
                  <m:sSubPr/>
                  <m:e>
                    <m:r>
                      <m:rPr>
                        <m:sty m:val="bi"/>
                      </m:rPr>
                      <w:rPr>
                        <w:rFonts w:ascii="Cambria Math" w:hAnsi="Cambria Math" w:eastAsia="Cambria Math" w:cs="Cambria Math"/>
                        <w:sz w:val="18"/>
                        <w:szCs w:val="18"/>
                      </w:rPr>
                      <m:t>η</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Sub>
                <m:r>
                  <m:rPr>
                    <m:sty m:val="p"/>
                  </m:rPr>
                  <w:rPr>
                    <w:rFonts w:ascii="Cambria Math" w:hAnsi="Cambria Math" w:eastAsia="Cambria Math" w:cs="Cambria Math"/>
                    <w:sz w:val="18"/>
                    <w:szCs w:val="18"/>
                  </w:rPr>
                  <m:t>=</m:t>
                </m:r>
                <m:d>
                  <m:dPr>
                    <m:begChr m:val="["/>
                    <m:sepChr m:val=""/>
                    <m:endChr m:val="]"/>
                  </m:dPr>
                  <m:e>
                    <m:m>
                      <m:mPr>
                        <m:mcs>
                          <m:mc>
                            <m:mcPr>
                              <m:count m:val="2"/>
                              <m:mcJc m:val="center"/>
                            </m:mcPr>
                          </m:mc>
                        </m:mcs>
                        <m:plcHide m:val="1"/>
                      </m:mPr>
                      <m:mr>
                        <m:e>
                          <m:r>
                            <m:rPr/>
                            <w:rPr>
                              <w:rFonts w:ascii="Cambria Math" w:hAnsi="Cambria Math" w:eastAsia="Cambria Math" w:cs="Cambria Math"/>
                              <w:sz w:val="18"/>
                              <w:szCs w:val="18"/>
                            </w:rPr>
                            <m:t>1</m:t>
                          </m:r>
                        </m:e>
                        <m:e>
                          <m:r>
                            <m:rPr/>
                            <w:rPr>
                              <w:rFonts w:ascii="Cambria Math" w:hAnsi="Cambria Math" w:eastAsia="Cambria Math" w:cs="Cambria Math"/>
                              <w:sz w:val="18"/>
                              <w:szCs w:val="18"/>
                            </w:rPr>
                            <m:t>0</m:t>
                          </m:r>
                        </m:e>
                      </m:mr>
                      <m:mr>
                        <m:e>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e>
                        <m:e>
                          <m:r>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3279D44B">
            <w:pPr>
              <w:numPr>
                <w:ilvl w:val="0"/>
                <w:numId w:val="0"/>
              </w:numPr>
              <w:snapToGrid w:val="0"/>
              <w:jc w:val="right"/>
              <w:rPr>
                <w:sz w:val="16"/>
              </w:rPr>
            </w:pPr>
            <w:r>
              <w:rPr>
                <w:sz w:val="16"/>
                <w:szCs w:val="16"/>
              </w:rPr>
              <w:t>(11)</w:t>
            </w:r>
          </w:p>
        </w:tc>
      </w:tr>
    </w:tbl>
    <w:p w14:paraId="1F77E9B1">
      <w:pPr>
        <w:pStyle w:val="7"/>
        <w:numPr>
          <w:ilvl w:val="0"/>
          <w:numId w:val="0"/>
        </w:numPr>
        <w:snapToGrid w:val="0"/>
        <w:rPr>
          <w:sz w:val="20"/>
        </w:rPr>
      </w:pPr>
      <w:r>
        <w:rPr>
          <w:rFonts w:hint="eastAsia"/>
          <w:sz w:val="20"/>
          <w:szCs w:val="20"/>
        </w:rPr>
        <w:t>令</w:t>
      </w:r>
      <m:oMath>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rFonts w:ascii="Times New Roman" w:hAnsi="Times New Roman" w:eastAsia="宋体"/>
          <w:sz w:val="20"/>
          <w:szCs w:val="20"/>
        </w:rPr>
        <w:t xml:space="preserve"> 表示虚关节位移。</w:t>
      </w:r>
      <w:r>
        <w:rPr>
          <w:sz w:val="20"/>
          <w:szCs w:val="20"/>
        </w:rPr>
        <w:t xml:space="preserve"> </w:t>
      </w:r>
      <m:oMath>
        <m:sSub>
          <m:sSub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功率共轭的广义力矩，</w:t>
      </w:r>
      <m:oMath>
        <m:sSub>
          <m:sSub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Sub>
      </m:oMath>
      <w:r>
        <w:rPr>
          <w:sz w:val="20"/>
          <w:szCs w:val="20"/>
        </w:rPr>
        <w:t xml:space="preserve"> </w:t>
      </w:r>
      <w:r>
        <w:rPr>
          <w:rFonts w:hint="eastAsia"/>
          <w:sz w:val="20"/>
          <w:szCs w:val="20"/>
        </w:rPr>
        <w:t>为与</w:t>
      </w:r>
      <w:r>
        <w:rPr>
          <w:sz w:val="20"/>
          <w:szCs w:val="20"/>
        </w:rPr>
        <w:t xml:space="preserve"> </w:t>
      </w:r>
      <m:oMath>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oMath>
      <w:r>
        <w:rPr>
          <w:sz w:val="20"/>
          <w:szCs w:val="20"/>
        </w:rPr>
        <w:t xml:space="preserve"> </w:t>
      </w:r>
      <w:r>
        <w:rPr>
          <w:rFonts w:hint="eastAsia"/>
          <w:sz w:val="20"/>
          <w:szCs w:val="20"/>
        </w:rPr>
        <w:t>共轭的驱动力矩。轮对小腿的力为</w:t>
      </w:r>
      <w:r>
        <w:rPr>
          <w:sz w:val="20"/>
          <w:szCs w:val="20"/>
        </w:rPr>
        <w:t xml:space="preserve"> </w:t>
      </w:r>
      <m:oMath>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w</m:t>
            </m:r>
          </m:sub>
        </m:sSub>
      </m:oMath>
      <w:r>
        <w:rPr>
          <w:rFonts w:hint="eastAsia"/>
          <w:sz w:val="20"/>
          <w:szCs w:val="20"/>
        </w:rPr>
        <w:t>，反作用轴向力矩为</w:t>
      </w:r>
      <w:r>
        <w:rPr>
          <w:sz w:val="20"/>
          <w:szCs w:val="20"/>
        </w:rPr>
        <w:t xml:space="preserve">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w</m:t>
            </m:r>
          </m:sub>
        </m:sSub>
      </m:oMath>
      <w:r>
        <w:rPr>
          <w:rFonts w:hint="eastAsia"/>
          <w:sz w:val="20"/>
          <w:szCs w:val="20"/>
        </w:rPr>
        <w:t>；选取与</w:t>
      </w:r>
      <w:r>
        <w:rPr>
          <w:sz w:val="20"/>
          <w:szCs w:val="20"/>
        </w:rPr>
        <w:t xml:space="preserve">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r>
              <m:rPr/>
              <w:rPr>
                <w:rFonts w:ascii="Cambria Math" w:hAnsi="Cambria Math" w:eastAsia="Cambria Math" w:cs="Cambria Math"/>
                <w:sz w:val="20"/>
                <w:szCs w:val="20"/>
              </w:rPr>
              <m:t>2</m:t>
            </m:r>
          </m:sub>
        </m:sSub>
      </m:oMath>
      <w:r>
        <w:rPr>
          <w:sz w:val="20"/>
          <w:szCs w:val="20"/>
        </w:rPr>
        <w:t xml:space="preserve"> </w:t>
      </w:r>
      <w:r>
        <w:rPr>
          <w:rFonts w:hint="eastAsia"/>
          <w:sz w:val="20"/>
          <w:szCs w:val="20"/>
        </w:rPr>
        <w:t>正向一致的轴向标量后，虚功平衡为</w:t>
      </w:r>
    </w:p>
    <w:tbl>
      <w:tblPr>
        <w:tblStyle w:val="10"/>
        <w:tblW w:w="4866" w:type="dxa"/>
        <w:tblCaption w:val="Equation 1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0DEA7A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2ACDA91">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r>
                      <m:rPr/>
                      <w:rPr>
                        <w:rFonts w:ascii="Cambria Math" w:hAnsi="Cambria Math" w:eastAsia="Cambria Math" w:cs="Cambria Math"/>
                        <w:sz w:val="18"/>
                        <w:szCs w:val="18"/>
                      </w:rPr>
                      <m:t>0</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up>
                        <m:r>
                          <m:rPr>
                            <m:sty m:val="p"/>
                          </m:rPr>
                          <w:rPr>
                            <w:rFonts w:ascii="Cambria Math" w:hAnsi="Cambria Math" w:eastAsia="Cambria Math" w:cs="Cambria Math"/>
                            <w:sz w:val="18"/>
                            <w:szCs w:val="18"/>
                          </w:rPr>
                          <m:t>T</m:t>
                        </m:r>
                      </m:sup>
                    </m:sSubSup>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up>
                        <m:r>
                          <m:rPr>
                            <m:sty m:val="p"/>
                          </m:rPr>
                          <w:rPr>
                            <w:rFonts w:ascii="Cambria Math" w:hAnsi="Cambria Math" w:eastAsia="Cambria Math" w:cs="Cambria Math"/>
                            <w:sz w:val="18"/>
                            <w:szCs w:val="18"/>
                          </w:rPr>
                          <m:t>T</m:t>
                        </m:r>
                      </m:sup>
                    </m:sSubSup>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Sub>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e>
                  <m:e>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δ</m:t>
                    </m:r>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leg</m:t>
                        </m:r>
                      </m:sub>
                    </m:sSub>
                    <m:r>
                      <m:rPr>
                        <m:sty m:val="p"/>
                      </m:rPr>
                      <w:rPr>
                        <w:rFonts w:ascii="Cambria Math" w:hAnsi="Cambria Math" w:eastAsia="Cambria Math" w:cs="Cambria Math"/>
                        <w:sz w:val="18"/>
                        <w:szCs w:val="18"/>
                      </w:rPr>
                      <m:t>.</m:t>
                    </m:r>
                  </m:e>
                </m:eqArr>
              </m:oMath>
            </m:oMathPara>
          </w:p>
        </w:tc>
        <w:tc>
          <w:tcPr>
            <w:tcW w:w="390" w:type="dxa"/>
            <w:vAlign w:val="center"/>
          </w:tcPr>
          <w:p w14:paraId="4A60E4B7">
            <w:pPr>
              <w:numPr>
                <w:ilvl w:val="0"/>
                <w:numId w:val="0"/>
              </w:numPr>
              <w:snapToGrid w:val="0"/>
              <w:jc w:val="right"/>
              <w:rPr>
                <w:sz w:val="16"/>
              </w:rPr>
            </w:pPr>
            <w:r>
              <w:rPr>
                <w:sz w:val="16"/>
                <w:szCs w:val="16"/>
              </w:rPr>
              <w:t>(12)</w:t>
            </w:r>
          </w:p>
        </w:tc>
      </w:tr>
    </w:tbl>
    <w:p w14:paraId="5DFC830E">
      <w:pPr>
        <w:pStyle w:val="7"/>
        <w:numPr>
          <w:ilvl w:val="0"/>
          <w:numId w:val="0"/>
        </w:numPr>
        <w:snapToGrid w:val="0"/>
        <w:rPr>
          <w:sz w:val="20"/>
        </w:rPr>
      </w:pPr>
      <w:r>
        <w:rPr>
          <w:rFonts w:hint="eastAsia"/>
          <w:sz w:val="20"/>
          <w:szCs w:val="20"/>
        </w:rPr>
        <w:t>因此，在忽略腿杆重力与惯性时，</w:t>
      </w:r>
    </w:p>
    <w:tbl>
      <w:tblPr>
        <w:tblStyle w:val="10"/>
        <w:tblW w:w="4866" w:type="dxa"/>
        <w:tblCaption w:val="Equation 1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71B51E9">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93CF8F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leg</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τ</m:t>
                        </m:r>
                      </m:e>
                      <m:sub>
                        <m:r>
                          <m:rPr/>
                          <w:rPr>
                            <w:rFonts w:ascii="Cambria Math" w:hAnsi="Cambria Math" w:eastAsia="Cambria Math" w:cs="Cambria Math"/>
                            <w:sz w:val="18"/>
                            <w:szCs w:val="18"/>
                          </w:rPr>
                          <m:t>η</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tr</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q</m:t>
                        </m:r>
                      </m:sub>
                    </m:sSub>
                    <m:r>
                      <m:rPr>
                        <m:sty m:val="p"/>
                      </m:rPr>
                      <w:rPr>
                        <w:rFonts w:ascii="Cambria Math" w:hAnsi="Cambria Math" w:eastAsia="Cambria Math" w:cs="Cambria Math"/>
                        <w:sz w:val="18"/>
                        <w:szCs w:val="18"/>
                      </w:rPr>
                      <m:t>.</m:t>
                    </m:r>
                  </m:e>
                </m:eqArr>
              </m:oMath>
            </m:oMathPara>
          </w:p>
        </w:tc>
        <w:tc>
          <w:tcPr>
            <w:tcW w:w="390" w:type="dxa"/>
            <w:vAlign w:val="center"/>
          </w:tcPr>
          <w:p w14:paraId="58D7332D">
            <w:pPr>
              <w:numPr>
                <w:ilvl w:val="0"/>
                <w:numId w:val="0"/>
              </w:numPr>
              <w:snapToGrid w:val="0"/>
              <w:jc w:val="right"/>
              <w:rPr>
                <w:sz w:val="16"/>
              </w:rPr>
            </w:pPr>
            <w:r>
              <w:rPr>
                <w:sz w:val="16"/>
                <w:szCs w:val="16"/>
              </w:rPr>
              <w:t>(13)</w:t>
            </w:r>
          </w:p>
        </w:tc>
      </w:tr>
    </w:tbl>
    <w:p w14:paraId="0AE09764">
      <w:pPr>
        <w:pStyle w:val="7"/>
        <w:numPr>
          <w:ilvl w:val="0"/>
          <w:numId w:val="0"/>
        </w:numPr>
        <w:snapToGrid w:val="0"/>
        <w:rPr>
          <w:rFonts w:hint="eastAsia" w:eastAsia="宋体"/>
          <w:sz w:val="20"/>
          <w:lang w:eastAsia="zh-CN"/>
        </w:rPr>
      </w:pPr>
      <w:r>
        <w:rPr>
          <w:rFonts w:hint="eastAsia"/>
          <w:sz w:val="20"/>
          <w:szCs w:val="20"/>
        </w:rPr>
        <w:t>第二式来自</w:t>
      </w:r>
      <w:r>
        <w:rPr>
          <w:sz w:val="20"/>
          <w:szCs w:val="20"/>
        </w:rPr>
        <w:t xml:space="preserve"> </w:t>
      </w:r>
      <m:oMath>
        <m:sSubSup>
          <m:sSubSupPr/>
          <m:e>
            <m:r>
              <m:rPr>
                <m:sty m:val="bi"/>
              </m:rPr>
              <w:rPr>
                <w:rFonts w:ascii="Cambria Math" w:hAnsi="Cambria Math" w:eastAsia="Cambria Math" w:cs="Cambria Math"/>
                <w:sz w:val="20"/>
                <w:szCs w:val="20"/>
              </w:rPr>
              <m:t>τ</m:t>
            </m:r>
          </m:e>
          <m:sub>
            <m:r>
              <m:rPr/>
              <w:rPr>
                <w:rFonts w:ascii="Cambria Math" w:hAnsi="Cambria Math" w:eastAsia="Cambria Math" w:cs="Cambria Math"/>
                <w:sz w:val="20"/>
                <w:szCs w:val="20"/>
              </w:rPr>
              <m:t>η</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η</m:t>
            </m:r>
          </m:e>
          <m:sub>
            <m:r>
              <m:rPr>
                <m:sty m:val="p"/>
              </m:rPr>
              <w:rPr>
                <w:rFonts w:ascii="Cambria Math" w:hAnsi="Cambria Math" w:eastAsia="Cambria Math" w:cs="Cambria Math"/>
                <w:sz w:val="20"/>
                <w:szCs w:val="20"/>
              </w:rPr>
              <m:t>leg</m:t>
            </m:r>
          </m:sub>
        </m:sSub>
        <m:r>
          <m:rPr>
            <m:sty m:val="p"/>
          </m:rPr>
          <w:rPr>
            <w:rFonts w:ascii="Cambria Math" w:hAnsi="Cambria Math" w:eastAsia="Cambria Math" w:cs="Cambria Math"/>
            <w:sz w:val="20"/>
            <w:szCs w:val="20"/>
          </w:rPr>
          <m:t>=</m:t>
        </m:r>
        <m:sSubSup>
          <m:sSubSupPr/>
          <m:e>
            <m:r>
              <m:rPr>
                <m:sty m:val="bi"/>
              </m:rPr>
              <w:rPr>
                <w:rFonts w:ascii="Cambria Math" w:hAnsi="Cambria Math" w:eastAsia="Cambria Math" w:cs="Cambria Math"/>
                <w:sz w:val="20"/>
                <w:szCs w:val="20"/>
              </w:rPr>
              <m:t>τ</m:t>
            </m:r>
          </m:e>
          <m:sub>
            <m:r>
              <m:rPr>
                <m:sty m:val="p"/>
              </m:rPr>
              <w:rPr>
                <w:rFonts w:ascii="Cambria Math" w:hAnsi="Cambria Math" w:eastAsia="Cambria Math" w:cs="Cambria Math"/>
                <w:sz w:val="20"/>
                <w:szCs w:val="20"/>
              </w:rPr>
              <m:t>q</m:t>
            </m:r>
          </m:sub>
          <m:sup>
            <m:r>
              <m:rPr>
                <m:sty m:val="p"/>
              </m:rPr>
              <w:rPr>
                <w:rFonts w:ascii="Cambria Math" w:hAnsi="Cambria Math" w:eastAsia="Cambria Math" w:cs="Cambria Math"/>
                <w:sz w:val="20"/>
                <w:szCs w:val="20"/>
              </w:rPr>
              <m:t>T</m:t>
            </m:r>
          </m:sup>
        </m:sSubSup>
        <m:r>
          <m:rPr/>
          <w:rPr>
            <w:rFonts w:ascii="Cambria Math" w:hAnsi="Cambria Math" w:eastAsia="Cambria Math" w:cs="Cambria Math"/>
            <w:sz w:val="20"/>
            <w:szCs w:val="20"/>
          </w:rPr>
          <m:t>δ</m:t>
        </m:r>
        <m:sSub>
          <m:sSubPr/>
          <m:e>
            <m:r>
              <m:rPr>
                <m:sty m:val="bi"/>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leg</m:t>
            </m:r>
          </m:sub>
        </m:sSub>
      </m:oMath>
      <w:r>
        <w:rPr>
          <w:rFonts w:hint="eastAsia"/>
          <w:sz w:val="20"/>
          <w:szCs w:val="20"/>
        </w:rPr>
        <w:t>，使用传动矩阵的转置。</w:t>
      </w:r>
      <w:r>
        <w:rPr>
          <w:rFonts w:hint="eastAsia"/>
          <w:sz w:val="20"/>
          <w:szCs w:val="20"/>
          <w:lang w:eastAsia="zh-CN"/>
        </w:rPr>
        <w:t>其中</w:t>
      </w:r>
      <m:oMath>
        <m:sSub>
          <m:sSubPr>
            <m:ctrlPr>
              <w:rPr>
                <w:rFonts w:hint="eastAsia" w:ascii="Cambria Math" w:hAnsi="Cambria Math"/>
                <w:sz w:val="20"/>
                <w:szCs w:val="20"/>
                <w:lang w:eastAsia="zh-CN"/>
              </w:rPr>
            </m:ctrlPr>
          </m:sSubPr>
          <m:e>
            <m:r>
              <m:rPr>
                <m:sty m:val="p"/>
              </m:rPr>
              <w:rPr>
                <w:rFonts w:hint="eastAsia"/>
                <w:sz w:val="20"/>
                <w:szCs w:val="20"/>
                <w:lang w:eastAsia="zh-CN"/>
              </w:rPr>
              <m:t>τ</m:t>
            </m:r>
            <m:ctrlPr>
              <w:rPr>
                <w:rFonts w:hint="eastAsia" w:ascii="Cambria Math" w:hAnsi="Cambria Math"/>
                <w:sz w:val="20"/>
                <w:szCs w:val="20"/>
                <w:lang w:eastAsia="zh-CN"/>
              </w:rPr>
            </m:ctrlPr>
          </m:e>
          <m:sub>
            <m:r>
              <m:rPr>
                <m:sty m:val="p"/>
              </m:rPr>
              <w:rPr>
                <w:rFonts w:hint="eastAsia"/>
                <w:sz w:val="20"/>
                <w:szCs w:val="20"/>
                <w:lang w:eastAsia="zh-CN"/>
              </w:rPr>
              <m:t>η</m:t>
            </m:r>
            <m:ctrlPr>
              <w:rPr>
                <w:rFonts w:hint="eastAsia" w:ascii="Cambria Math" w:hAnsi="Cambria Math"/>
                <w:sz w:val="20"/>
                <w:szCs w:val="20"/>
                <w:lang w:eastAsia="zh-CN"/>
              </w:rPr>
            </m:ctrlPr>
          </m:sub>
        </m:sSub>
      </m:oMath>
      <w:r>
        <w:rPr>
          <w:rFonts w:hint="eastAsia"/>
          <w:sz w:val="20"/>
          <w:szCs w:val="20"/>
          <w:lang w:eastAsia="zh-CN"/>
        </w:rPr>
        <w:t>为腿部关节电机的输出力矩。</w:t>
      </w:r>
    </w:p>
    <w:bookmarkEnd w:id="7"/>
    <w:p w14:paraId="5DC355BB">
      <w:pPr>
        <w:pStyle w:val="4"/>
        <w:numPr>
          <w:ilvl w:val="2"/>
          <w:numId w:val="0"/>
        </w:numPr>
        <w:snapToGrid w:val="0"/>
      </w:pPr>
      <w:bookmarkStart w:id="8" w:name="整机单刚体动力学"/>
      <w:r>
        <w:t>5) 整机单刚体动力学</w:t>
      </w:r>
    </w:p>
    <w:p w14:paraId="7686BD07">
      <w:pPr>
        <w:pStyle w:val="7"/>
        <w:numPr>
          <w:ilvl w:val="0"/>
          <w:numId w:val="0"/>
        </w:numPr>
        <w:snapToGrid w:val="0"/>
        <w:rPr>
          <w:sz w:val="20"/>
        </w:rPr>
      </w:pPr>
      <w:r>
        <w:rPr>
          <w:rFonts w:hint="eastAsia"/>
          <w:sz w:val="20"/>
          <w:szCs w:val="20"/>
          <w:lang w:eastAsia="zh-CN"/>
        </w:rPr>
        <w:t>考虑到底盘快速运动时机械臂通常相对底盘静止，因此在进行底盘的动力学建模时，可以</w:t>
      </w:r>
      <w:r>
        <w:rPr>
          <w:rFonts w:hint="eastAsia"/>
          <w:sz w:val="20"/>
          <w:szCs w:val="20"/>
        </w:rPr>
        <w:t>将</w:t>
      </w:r>
      <w:r>
        <w:rPr>
          <w:rFonts w:hint="eastAsia"/>
          <w:sz w:val="20"/>
          <w:szCs w:val="20"/>
          <w:lang w:eastAsia="zh-CN"/>
        </w:rPr>
        <w:t>底盘与机械臂</w:t>
      </w:r>
      <w:r>
        <w:rPr>
          <w:rFonts w:hint="eastAsia"/>
          <w:sz w:val="20"/>
          <w:szCs w:val="20"/>
        </w:rPr>
        <w:t>作为具有等效质量和惯量的系统，</w:t>
      </w:r>
      <w:r>
        <w:rPr>
          <w:rFonts w:hint="eastAsia"/>
          <w:sz w:val="20"/>
          <w:szCs w:val="20"/>
          <w:lang w:eastAsia="zh-CN"/>
        </w:rPr>
        <w:t>整个机器人近似为单刚体</w:t>
      </w:r>
      <w:r>
        <w:rPr>
          <w:rFonts w:hint="eastAsia"/>
          <w:sz w:val="20"/>
          <w:szCs w:val="20"/>
        </w:rPr>
        <w:t xml:space="preserve">。整机质量记为 </w:t>
      </w:r>
      <m:oMath>
        <m:r>
          <m:rPr>
            <m:sty m:val="p"/>
          </m:rPr>
          <w:rPr>
            <w:rFonts w:hint="eastAsia"/>
            <w:sz w:val="20"/>
            <w:szCs w:val="20"/>
          </w:rPr>
          <m:t>m</m:t>
        </m:r>
      </m:oMath>
      <w:r>
        <w:rPr>
          <w:rFonts w:hint="eastAsia"/>
          <w:sz w:val="20"/>
          <w:szCs w:val="20"/>
        </w:rPr>
        <w:t xml:space="preserve">，质心加速度为 </w:t>
      </w:r>
      <m:oMath>
        <m:sSub>
          <m:sSubPr>
            <m:ctrlPr>
              <w:rPr>
                <w:rFonts w:hint="eastAsia" w:ascii="Cambria Math" w:hAnsi="Cambria Math"/>
                <w:sz w:val="20"/>
                <w:szCs w:val="20"/>
              </w:rPr>
            </m:ctrlPr>
          </m:sSubPr>
          <m:e>
            <m:r>
              <m:rPr>
                <m:sty m:val="p"/>
              </m:rPr>
              <w:rPr>
                <w:rFonts w:hint="eastAsia"/>
                <w:sz w:val="20"/>
                <w:szCs w:val="20"/>
              </w:rPr>
              <m:t>a</m:t>
            </m:r>
            <m:ctrlPr>
              <w:rPr>
                <w:rFonts w:hint="eastAsia" w:ascii="Cambria Math" w:hAnsi="Cambria Math"/>
                <w:sz w:val="20"/>
                <w:szCs w:val="20"/>
              </w:rPr>
            </m:ctrlPr>
          </m:e>
          <m:sub>
            <m:r>
              <m:rPr>
                <m:sty m:val="p"/>
              </m:rPr>
              <w:rPr>
                <w:rFonts w:hint="eastAsia"/>
                <w:sz w:val="20"/>
                <w:szCs w:val="20"/>
              </w:rPr>
              <m:t>G</m:t>
            </m:r>
            <m:ctrlPr>
              <w:rPr>
                <w:rFonts w:hint="eastAsia" w:ascii="Cambria Math" w:hAnsi="Cambria Math"/>
                <w:sz w:val="20"/>
                <w:szCs w:val="20"/>
              </w:rPr>
            </m:ctrlPr>
          </m:sub>
        </m:sSub>
      </m:oMath>
      <w:r>
        <w:rPr>
          <w:rFonts w:hint="eastAsia"/>
          <w:sz w:val="20"/>
          <w:szCs w:val="20"/>
        </w:rPr>
        <w:t>；</w:t>
      </w:r>
      <m:oMath>
        <m:sSub>
          <m:sSubPr>
            <m:ctrlPr>
              <w:rPr>
                <w:rFonts w:hint="eastAsia" w:ascii="Cambria Math" w:hAnsi="Cambria Math"/>
                <w:sz w:val="20"/>
                <w:szCs w:val="20"/>
              </w:rPr>
            </m:ctrlPr>
          </m:sSubPr>
          <m:e>
            <m:r>
              <m:rPr>
                <m:sty m:val="p"/>
              </m:rPr>
              <w:rPr>
                <w:rFonts w:hint="eastAsia"/>
                <w:sz w:val="20"/>
                <w:szCs w:val="20"/>
              </w:rPr>
              <m:t>r</m:t>
            </m:r>
            <m:ctrlPr>
              <w:rPr>
                <w:rFonts w:hint="eastAsia" w:ascii="Cambria Math" w:hAnsi="Cambria Math"/>
                <w:sz w:val="20"/>
                <w:szCs w:val="20"/>
              </w:rPr>
            </m:ctrlPr>
          </m:e>
          <m:sub>
            <m:r>
              <m:rPr>
                <m:sty m:val="p"/>
              </m:rPr>
              <w:rPr>
                <w:rFonts w:hint="eastAsia"/>
                <w:sz w:val="20"/>
                <w:szCs w:val="20"/>
              </w:rPr>
              <m:t>e,i</m:t>
            </m:r>
            <m:ctrlPr>
              <w:rPr>
                <w:rFonts w:hint="eastAsia" w:ascii="Cambria Math" w:hAnsi="Cambria Math"/>
                <w:sz w:val="20"/>
                <w:szCs w:val="20"/>
              </w:rPr>
            </m:ctrlPr>
          </m:sub>
        </m:sSub>
      </m:oMath>
      <w:r>
        <w:rPr>
          <w:rFonts w:hint="eastAsia"/>
          <w:sz w:val="20"/>
          <w:szCs w:val="20"/>
        </w:rPr>
        <w:t xml:space="preserve"> 为质心指向第 </w:t>
      </w:r>
      <m:oMath>
        <m:r>
          <m:rPr/>
          <w:rPr>
            <w:rFonts w:ascii="Cambria Math" w:hAnsi="Cambria Math" w:eastAsia="Cambria Math" w:cs="Cambria Math"/>
            <w:sz w:val="20"/>
            <w:szCs w:val="20"/>
          </w:rPr>
          <m:t>i</m:t>
        </m:r>
      </m:oMath>
      <w:r>
        <w:rPr>
          <w:sz w:val="20"/>
          <w:szCs w:val="20"/>
        </w:rPr>
        <w:t xml:space="preserve"> </w:t>
      </w:r>
      <w:r>
        <w:rPr>
          <w:rFonts w:hint="eastAsia"/>
          <w:sz w:val="20"/>
          <w:szCs w:val="20"/>
        </w:rPr>
        <w:t>个触点的矢量。Fig. 5</w:t>
      </w:r>
      <w:r>
        <w:rPr>
          <w:sz w:val="20"/>
          <w:szCs w:val="20"/>
        </w:rPr>
        <w:t xml:space="preserve"> </w:t>
      </w:r>
      <w:r>
        <w:rPr>
          <w:rFonts w:hint="eastAsia"/>
          <w:sz w:val="20"/>
          <w:szCs w:val="20"/>
        </w:rPr>
        <w:t>基于底盘立体构型给出接触力和质心的示意图。</w:t>
      </w:r>
    </w:p>
    <w:p w14:paraId="745AD3FA">
      <w:pPr>
        <w:keepNext/>
        <w:keepLines/>
        <w:numPr>
          <w:ilvl w:val="0"/>
          <w:numId w:val="0"/>
        </w:numPr>
        <w:snapToGrid w:val="0"/>
        <w:spacing w:before="60" w:after="60" w:line="240" w:lineRule="auto"/>
        <w:ind w:left="0" w:right="0" w:firstLine="0"/>
        <w:jc w:val="center"/>
      </w:pPr>
      <w:r>
        <w:drawing>
          <wp:inline distT="0" distB="0" distL="0" distR="0">
            <wp:extent cx="3059430" cy="2129790"/>
            <wp:effectExtent l="0" t="0" r="0" b="0"/>
            <wp:docPr id="26" name="Fig. 5" descr="基于底盘立体构型的整机质心与四轮接触力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 5" descr="基于底盘立体构型的整机质心与四轮接触力示意图"/>
                    <pic:cNvPicPr>
                      <a:picLocks noChangeAspect="1"/>
                    </pic:cNvPicPr>
                  </pic:nvPicPr>
                  <pic:blipFill>
                    <a:blip r:embed="rId11"/>
                    <a:srcRect t="3403" b="3791"/>
                    <a:stretch>
                      <a:fillRect/>
                    </a:stretch>
                  </pic:blipFill>
                  <pic:spPr>
                    <a:xfrm>
                      <a:off x="0" y="0"/>
                      <a:ext cx="3060000" cy="2129790"/>
                    </a:xfrm>
                    <a:prstGeom prst="rect">
                      <a:avLst/>
                    </a:prstGeom>
                  </pic:spPr>
                </pic:pic>
              </a:graphicData>
            </a:graphic>
          </wp:inline>
        </w:drawing>
      </w:r>
    </w:p>
    <w:p w14:paraId="32A2B6DF">
      <w:pPr>
        <w:pStyle w:val="18"/>
        <w:numPr>
          <w:ilvl w:val="0"/>
          <w:numId w:val="0"/>
        </w:numPr>
        <w:snapToGrid w:val="0"/>
        <w:rPr>
          <w:rFonts w:hint="eastAsia" w:eastAsia="宋体"/>
          <w:lang w:eastAsia="zh-CN"/>
        </w:rPr>
      </w:pPr>
      <w:r>
        <w:rPr>
          <w:iCs/>
        </w:rPr>
        <w:t xml:space="preserve">Fig. 5. </w:t>
      </w:r>
      <w:r>
        <w:rPr>
          <w:rFonts w:hint="eastAsia"/>
          <w:iCs/>
        </w:rPr>
        <w:t>基于底盘立体构型的整机质心与四轮接触力示意。各接触力以竖直箭头示意其作用位置；选取第 i 个触点标注接触力及质心至触点的力臂。</w:t>
      </w:r>
    </w:p>
    <w:p w14:paraId="4191046F">
      <w:pPr>
        <w:pStyle w:val="7"/>
        <w:numPr>
          <w:ilvl w:val="0"/>
          <w:numId w:val="0"/>
        </w:numPr>
        <w:snapToGrid w:val="0"/>
        <w:rPr>
          <w:sz w:val="20"/>
        </w:rPr>
      </w:pPr>
      <w:r>
        <w:rPr>
          <w:rFonts w:ascii="Times New Roman" w:hAnsi="Times New Roman" w:eastAsia="宋体"/>
          <w:sz w:val="20"/>
          <w:szCs w:val="20"/>
        </w:rPr>
        <w:t>将整机动力学方程统一写在惯性系下。</w:t>
      </w:r>
      <m:oMath>
        <m:r>
          <m:rPr>
            <m:sty m:val="bi"/>
          </m:rPr>
          <w:rPr>
            <w:rFonts w:ascii="Cambria Math" w:hAnsi="Cambria Math" w:eastAsia="Cambria Math" w:cs="Cambria Math"/>
            <w:sz w:val="20"/>
            <w:szCs w:val="20"/>
          </w:rPr>
          <m:t>ω</m:t>
        </m:r>
      </m:oMath>
      <w:r>
        <w:rPr>
          <w:rFonts w:ascii="Times New Roman" w:hAnsi="Times New Roman" w:eastAsia="宋体"/>
          <w:sz w:val="20"/>
          <w:szCs w:val="20"/>
        </w:rPr>
        <w:t xml:space="preserve"> 为机身角速度，</w:t>
      </w:r>
      <m:oMath>
        <m:acc>
          <m:accPr>
            <m:chr m:val="̇"/>
          </m:accPr>
          <m:e>
            <m:r>
              <m:rPr>
                <m:sty m:val="bi"/>
              </m:rPr>
              <w:rPr>
                <w:rFonts w:ascii="Cambria Math" w:hAnsi="Cambria Math" w:eastAsia="Cambria Math" w:cs="Cambria Math"/>
                <w:sz w:val="20"/>
                <w:szCs w:val="20"/>
              </w:rPr>
              <m:t>ω</m:t>
            </m:r>
          </m:e>
        </m:acc>
      </m:oMath>
      <w:r>
        <w:rPr>
          <w:rFonts w:ascii="Times New Roman" w:hAnsi="Times New Roman" w:eastAsia="宋体"/>
          <w:sz w:val="20"/>
          <w:szCs w:val="20"/>
        </w:rPr>
        <w:t xml:space="preserve"> 为角加速度，</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oMath>
      <w:r>
        <w:rPr>
          <w:rFonts w:ascii="Times New Roman" w:hAnsi="Times New Roman" w:eastAsia="宋体"/>
          <w:sz w:val="20"/>
          <w:szCs w:val="20"/>
        </w:rPr>
        <w:t xml:space="preserve"> 为以机体系分量表示的整机质心惯性张量。惯性张量变换为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s</m:t>
            </m:r>
          </m:sub>
        </m:sSub>
        <m:r>
          <m:rPr>
            <m:sty m:val="p"/>
          </m:rPr>
          <w:rPr>
            <w:rFonts w:ascii="Cambria Math" w:hAnsi="Cambria Math" w:eastAsia="Cambria Math" w:cs="Cambria Math"/>
            <w:sz w:val="20"/>
            <w:szCs w:val="20"/>
          </w:rPr>
          <m:t>=</m:t>
        </m:r>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Sub>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b</m:t>
            </m:r>
          </m:sub>
        </m:sSub>
        <m:sSubSup>
          <m:sSubSup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sb</m:t>
            </m:r>
          </m:sub>
          <m:sup>
            <m:r>
              <m:rPr>
                <m:sty m:val="p"/>
              </m:rPr>
              <w:rPr>
                <w:rFonts w:ascii="Cambria Math" w:hAnsi="Cambria Math" w:eastAsia="Cambria Math" w:cs="Cambria Math"/>
                <w:sz w:val="20"/>
                <w:szCs w:val="20"/>
              </w:rPr>
              <m:t>T</m:t>
            </m:r>
          </m:sup>
        </m:sSubSup>
      </m:oMath>
      <w:r>
        <w:rPr>
          <w:rFonts w:ascii="Times New Roman" w:hAnsi="Times New Roman" w:eastAsia="宋体"/>
          <w:sz w:val="20"/>
          <w:szCs w:val="20"/>
        </w:rPr>
        <w:t>。令</w:t>
      </w:r>
    </w:p>
    <w:tbl>
      <w:tblPr>
        <w:tblStyle w:val="10"/>
        <w:tblW w:w="4866" w:type="dxa"/>
        <w:tblCaption w:val="Equation 1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CBF4406">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32C07A0">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r>
                  <m:rPr>
                    <m:sty m:val="p"/>
                  </m:rPr>
                  <w:rPr>
                    <w:rFonts w:ascii="Cambria Math" w:hAnsi="Cambria Math" w:eastAsia="Cambria Math" w:cs="Cambria Math"/>
                    <w:sz w:val="18"/>
                    <w:szCs w:val="18"/>
                  </w:rPr>
                  <m:t>=</m:t>
                </m:r>
                <m:d>
                  <m:dPr>
                    <m:begChr m:val="["/>
                    <m:sepChr m:val=""/>
                    <m:endChr m:val="]"/>
                  </m:dPr>
                  <m:e>
                    <m:m>
                      <m:mPr>
                        <m:mcs>
                          <m:mc>
                            <m:mcPr>
                              <m:count m:val="4"/>
                              <m:mcJc m:val="center"/>
                            </m:mcPr>
                          </m:mc>
                        </m:mcs>
                        <m:plcHide m:val="1"/>
                      </m:mPr>
                      <m:mr>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e>
                          <m:sSub>
                            <m:sSubPr/>
                            <m:e>
                              <m:r>
                                <m:rPr>
                                  <m:sty m:val="b"/>
                                </m:rPr>
                                <w:rPr>
                                  <w:rFonts w:ascii="Cambria Math" w:hAnsi="Cambria Math" w:eastAsia="Cambria Math" w:cs="Cambria Math"/>
                                  <w:sz w:val="18"/>
                                  <w:szCs w:val="18"/>
                                </w:rPr>
                                <m:t>I</m:t>
                              </m:r>
                            </m:e>
                            <m:sub>
                              <m:r>
                                <m:rPr/>
                                <w:rPr>
                                  <w:rFonts w:ascii="Cambria Math" w:hAnsi="Cambria Math" w:eastAsia="Cambria Math" w:cs="Cambria Math"/>
                                  <w:sz w:val="18"/>
                                  <w:szCs w:val="18"/>
                                </w:rPr>
                                <m:t>3</m:t>
                              </m:r>
                            </m:sub>
                          </m:sSub>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2</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3</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Sub>
                          <m:sSub>
                            <m:sSubPr/>
                            <m:e>
                              <m:r>
                                <m:rPr>
                                  <m:sty m:val="p"/>
                                </m:rPr>
                                <w:rPr>
                                  <w:rFonts w:ascii="Cambria Math" w:hAnsi="Cambria Math" w:eastAsia="Cambria Math" w:cs="Cambria Math"/>
                                  <w:sz w:val="18"/>
                                  <w:szCs w:val="18"/>
                                </w:rPr>
                                <m:t>]</m:t>
                              </m:r>
                            </m:e>
                            <m:sub>
                              <m:r>
                                <m:rPr>
                                  <m:sty m:val="p"/>
                                </m:rPr>
                                <w:rPr>
                                  <w:rFonts w:ascii="Cambria Math" w:hAnsi="Cambria Math" w:eastAsia="Cambria Math" w:cs="Cambria Math"/>
                                  <w:sz w:val="18"/>
                                  <w:szCs w:val="18"/>
                                </w:rPr>
                                <m:t>×</m:t>
                              </m:r>
                            </m:sub>
                          </m:sSub>
                        </m:e>
                      </m:mr>
                    </m:m>
                  </m:e>
                </m:d>
                <m:r>
                  <m:rPr>
                    <m:sty m:val="p"/>
                  </m:rPr>
                  <w:rPr>
                    <w:rFonts w:ascii="Cambria Math" w:hAnsi="Cambria Math" w:eastAsia="Cambria Math" w:cs="Cambria Math"/>
                    <w:sz w:val="18"/>
                    <w:szCs w:val="18"/>
                  </w:rPr>
                  <m:t>,</m:t>
                </m:r>
              </m:oMath>
            </m:oMathPara>
          </w:p>
        </w:tc>
        <w:tc>
          <w:tcPr>
            <w:tcW w:w="390" w:type="dxa"/>
            <w:vAlign w:val="center"/>
          </w:tcPr>
          <w:p w14:paraId="6BEC1166">
            <w:pPr>
              <w:numPr>
                <w:ilvl w:val="0"/>
                <w:numId w:val="0"/>
              </w:numPr>
              <w:snapToGrid w:val="0"/>
              <w:jc w:val="right"/>
              <w:rPr>
                <w:sz w:val="16"/>
              </w:rPr>
            </w:pPr>
            <w:r>
              <w:rPr>
                <w:sz w:val="16"/>
                <w:szCs w:val="16"/>
              </w:rPr>
              <w:t>(14)</w:t>
            </w:r>
          </w:p>
        </w:tc>
      </w:tr>
      <w:tr w14:paraId="7469348A">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FB0AD9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w:rPr>
                                  <w:rFonts w:ascii="Cambria Math" w:hAnsi="Cambria Math" w:eastAsia="Cambria Math" w:cs="Cambria Math"/>
                                  <w:sz w:val="18"/>
                                  <w:szCs w:val="18"/>
                                </w:rPr>
                                <m:t>m</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G</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g</m:t>
                              </m:r>
                              <m:r>
                                <m:rPr>
                                  <m:sty m:val="p"/>
                                </m:rPr>
                                <w:rPr>
                                  <w:rFonts w:ascii="Cambria Math" w:hAnsi="Cambria Math" w:eastAsia="Cambria Math" w:cs="Cambria Math"/>
                                  <w:sz w:val="18"/>
                                  <w:szCs w:val="18"/>
                                </w:rPr>
                                <m:t>)</m:t>
                              </m:r>
                            </m:e>
                          </m:mr>
                          <m:mr>
                            <m:e>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acc>
                                <m:accPr>
                                  <m:chr m:val="̇"/>
                                </m:accPr>
                                <m:e>
                                  <m:r>
                                    <m:rPr>
                                      <m:sty m:val="bi"/>
                                    </m:rPr>
                                    <w:rPr>
                                      <w:rFonts w:ascii="Cambria Math" w:hAnsi="Cambria Math" w:eastAsia="Cambria Math" w:cs="Cambria Math"/>
                                      <w:sz w:val="18"/>
                                      <w:szCs w:val="18"/>
                                    </w:rPr>
                                    <m:t>ω</m:t>
                                  </m:r>
                                </m:e>
                              </m:acc>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I</m:t>
                                  </m:r>
                                </m:e>
                                <m:sub>
                                  <m:r>
                                    <m:rPr>
                                      <m:sty m:val="p"/>
                                    </m:rPr>
                                    <w:rPr>
                                      <w:rFonts w:ascii="Cambria Math" w:hAnsi="Cambria Math" w:eastAsia="Cambria Math" w:cs="Cambria Math"/>
                                      <w:sz w:val="18"/>
                                      <w:szCs w:val="18"/>
                                    </w:rPr>
                                    <m:t>s</m:t>
                                  </m:r>
                                </m:sub>
                              </m:sSub>
                              <m:r>
                                <m:rPr>
                                  <m:sty m:val="bi"/>
                                </m:rPr>
                                <w:rPr>
                                  <w:rFonts w:ascii="Cambria Math" w:hAnsi="Cambria Math" w:eastAsia="Cambria Math" w:cs="Cambria Math"/>
                                  <w:sz w:val="18"/>
                                  <w:szCs w:val="18"/>
                                </w:rPr>
                                <m:t>ω</m:t>
                              </m:r>
                              <m:r>
                                <m:rPr>
                                  <m:sty m:val="p"/>
                                </m:rPr>
                                <w:rPr>
                                  <w:rFonts w:ascii="Cambria Math" w:hAnsi="Cambria Math" w:eastAsia="Cambria Math" w:cs="Cambria Math"/>
                                  <w:sz w:val="18"/>
                                  <w:szCs w:val="18"/>
                                </w:rPr>
                                <m:t>)</m:t>
                              </m:r>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1</m:t>
                        </m:r>
                      </m:sub>
                      <m:sup>
                        <m:r>
                          <m:rPr>
                            <m:sty m:val="p"/>
                          </m:rPr>
                          <w:rPr>
                            <w:rFonts w:ascii="Cambria Math" w:hAnsi="Cambria Math" w:eastAsia="Cambria Math" w:cs="Cambria Math"/>
                            <w:sz w:val="18"/>
                            <w:szCs w:val="18"/>
                          </w:rPr>
                          <m:t>T</m:t>
                        </m:r>
                      </m:sup>
                    </m:sSubSup>
                    <m:r>
                      <m:rPr>
                        <m:sty m:val="p"/>
                      </m:rPr>
                      <w:rPr>
                        <w:rFonts w:ascii="Cambria Math" w:hAnsi="Cambria Math" w:eastAsia="Cambria Math" w:cs="Cambria Math"/>
                        <w:sz w:val="18"/>
                        <w:szCs w:val="18"/>
                      </w:rPr>
                      <m:t>,…,</m:t>
                    </m:r>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T</m:t>
                        </m:r>
                      </m:sup>
                    </m:sSub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75207D61">
            <w:pPr>
              <w:numPr>
                <w:ilvl w:val="0"/>
                <w:numId w:val="0"/>
              </w:numPr>
              <w:snapToGrid w:val="0"/>
              <w:jc w:val="right"/>
              <w:rPr>
                <w:sz w:val="16"/>
              </w:rPr>
            </w:pPr>
            <w:r>
              <w:rPr>
                <w:sz w:val="16"/>
                <w:szCs w:val="16"/>
              </w:rPr>
              <w:t>(15)</w:t>
            </w:r>
          </w:p>
        </w:tc>
      </w:tr>
    </w:tbl>
    <w:p w14:paraId="2D10216C">
      <w:pPr>
        <w:pStyle w:val="7"/>
        <w:numPr>
          <w:ilvl w:val="0"/>
          <w:numId w:val="0"/>
        </w:numPr>
        <w:snapToGrid w:val="0"/>
        <w:rPr>
          <w:sz w:val="20"/>
        </w:rPr>
      </w:pPr>
      <w:r>
        <w:rPr>
          <w:rFonts w:ascii="Times New Roman" w:hAnsi="Times New Roman" w:eastAsia="宋体"/>
          <w:sz w:val="20"/>
          <w:szCs w:val="20"/>
        </w:rPr>
        <w:t>其中，</w:t>
      </w:r>
      <m:oMath>
        <m:r>
          <m:rPr>
            <m:sty m:val="b"/>
          </m:rPr>
          <w:rPr>
            <w:rFonts w:ascii="Cambria Math" w:hAnsi="Cambria Math" w:eastAsia="Cambria Math" w:cs="Cambria Math"/>
            <w:sz w:val="20"/>
            <w:szCs w:val="20"/>
          </w:rPr>
          <m:t>H</m:t>
        </m:r>
      </m:oMath>
      <w:r>
        <w:rPr>
          <w:rFonts w:ascii="Times New Roman" w:hAnsi="Times New Roman" w:eastAsia="宋体"/>
          <w:sz w:val="20"/>
          <w:szCs w:val="20"/>
        </w:rPr>
        <w:t xml:space="preserve"> 将各接触力映射为整机合力与合力矩，</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e</m:t>
            </m:r>
          </m:sub>
        </m:sSub>
      </m:oMath>
      <w:r>
        <w:rPr>
          <w:rFonts w:ascii="Times New Roman" w:hAnsi="Times New Roman" w:eastAsia="宋体"/>
          <w:sz w:val="20"/>
          <w:szCs w:val="20"/>
        </w:rPr>
        <w:t xml:space="preserve"> 为四轮接触力的堆叠向量，</w:t>
      </w:r>
      <m:oMath>
        <m:sSub>
          <m:sSubPr/>
          <m:e>
            <m:r>
              <m:rPr>
                <m:sty m:val="bi"/>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dyn</m:t>
            </m:r>
          </m:sub>
        </m:sSub>
      </m:oMath>
      <w:r>
        <w:rPr>
          <w:rFonts w:ascii="Times New Roman" w:hAnsi="Times New Roman" w:eastAsia="宋体"/>
          <w:sz w:val="20"/>
          <w:szCs w:val="20"/>
        </w:rPr>
        <w:t xml:space="preserve"> 为所需接触合力与合力矩组成的向量。</w:t>
      </w:r>
      <w:r>
        <w:rPr>
          <w:rFonts w:hint="eastAsia"/>
          <w:sz w:val="20"/>
          <w:szCs w:val="20"/>
        </w:rPr>
        <w:t>牛顿与欧拉方程可以写为</w:t>
      </w:r>
    </w:p>
    <w:tbl>
      <w:tblPr>
        <w:tblStyle w:val="10"/>
        <w:tblW w:w="4866" w:type="dxa"/>
        <w:tblCaption w:val="Equation 1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85BF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FE746F9">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b"/>
                  </m:rPr>
                  <w:rPr>
                    <w:rFonts w:ascii="Cambria Math" w:hAnsi="Cambria Math" w:eastAsia="Cambria Math" w:cs="Cambria Math"/>
                    <w:sz w:val="18"/>
                    <w:szCs w:val="18"/>
                  </w:rPr>
                  <m:t>H</m:t>
                </m:r>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5B7C8E4B">
            <w:pPr>
              <w:numPr>
                <w:ilvl w:val="0"/>
                <w:numId w:val="0"/>
              </w:numPr>
              <w:snapToGrid w:val="0"/>
              <w:jc w:val="right"/>
              <w:rPr>
                <w:sz w:val="16"/>
              </w:rPr>
            </w:pPr>
            <w:r>
              <w:rPr>
                <w:sz w:val="16"/>
                <w:szCs w:val="16"/>
              </w:rPr>
              <w:t>(16)</w:t>
            </w:r>
          </w:p>
        </w:tc>
      </w:tr>
    </w:tbl>
    <w:p w14:paraId="24DF0689">
      <w:pPr>
        <w:pStyle w:val="7"/>
        <w:numPr>
          <w:ilvl w:val="0"/>
          <w:numId w:val="0"/>
        </w:numPr>
        <w:snapToGrid w:val="0"/>
        <w:rPr>
          <w:sz w:val="20"/>
        </w:rPr>
      </w:pPr>
      <w:r>
        <w:rPr>
          <w:rFonts w:hint="eastAsia"/>
          <w:sz w:val="20"/>
          <w:szCs w:val="20"/>
        </w:rPr>
        <w:t>其中</w:t>
      </w:r>
      <w:r>
        <w:rPr>
          <w:sz w:val="20"/>
          <w:szCs w:val="20"/>
        </w:rPr>
        <w:t xml:space="preserve"> </w:t>
      </w:r>
      <m:oMath>
        <m:r>
          <m:rPr>
            <m:sty m:val="b"/>
          </m:rPr>
          <w:rPr>
            <w:rFonts w:ascii="Cambria Math" w:hAnsi="Cambria Math" w:eastAsia="Cambria Math" w:cs="Cambria Math"/>
            <w:sz w:val="20"/>
            <w:szCs w:val="20"/>
          </w:rPr>
          <m:t>H</m:t>
        </m:r>
        <m:r>
          <m:rPr>
            <m:sty m:val="p"/>
          </m:rPr>
          <w:rPr>
            <w:rFonts w:ascii="Cambria Math" w:hAnsi="Cambria Math" w:eastAsia="Cambria Math" w:cs="Cambria Math"/>
            <w:sz w:val="20"/>
            <w:szCs w:val="20"/>
          </w:rPr>
          <m:t>∈</m:t>
        </m:r>
        <m:sSup>
          <m:sSupPr/>
          <m:e>
            <m:r>
              <m:rPr>
                <m:sty m:val="p"/>
                <m:scr m:val="double-struck"/>
              </m:rPr>
              <w:rPr>
                <w:rFonts w:ascii="Cambria Math" w:hAnsi="Cambria Math" w:eastAsia="Cambria Math" w:cs="Cambria Math"/>
                <w:sz w:val="20"/>
                <w:szCs w:val="20"/>
              </w:rPr>
              <m:t>ℝ</m:t>
            </m:r>
          </m:e>
          <m:sup>
            <m:r>
              <m:rPr/>
              <w:rPr>
                <w:rFonts w:ascii="Cambria Math" w:hAnsi="Cambria Math" w:eastAsia="Cambria Math" w:cs="Cambria Math"/>
                <w:sz w:val="20"/>
                <w:szCs w:val="20"/>
              </w:rPr>
              <m:t>6</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12</m:t>
            </m:r>
          </m:sup>
        </m:sSup>
      </m:oMath>
      <w:r>
        <w:rPr>
          <w:rFonts w:hint="eastAsia"/>
          <w:sz w:val="20"/>
          <w:szCs w:val="20"/>
        </w:rPr>
        <w:t>。低速计算可忽略</w:t>
      </w:r>
      <w:r>
        <w:rPr>
          <w:sz w:val="20"/>
          <w:szCs w:val="20"/>
        </w:rPr>
        <w:t xml:space="preserve"> </w:t>
      </w:r>
      <m:oMath>
        <m:r>
          <m:rPr>
            <m:sty m:val="bi"/>
          </m:rPr>
          <w:rPr>
            <w:rFonts w:ascii="Cambria Math" w:hAnsi="Cambria Math" w:eastAsia="Cambria Math" w:cs="Cambria Math"/>
            <w:sz w:val="20"/>
            <w:szCs w:val="20"/>
          </w:rPr>
          <m:t>ω</m:t>
        </m:r>
        <m:r>
          <m:rPr>
            <m:sty m:val="p"/>
          </m:rPr>
          <w:rPr>
            <w:rFonts w:ascii="Cambria Math" w:hAnsi="Cambria Math" w:eastAsia="Cambria Math" w:cs="Cambria Math"/>
            <w:sz w:val="20"/>
            <w:szCs w:val="20"/>
          </w:rPr>
          <m:t>×(</m:t>
        </m:r>
        <m:sSub>
          <m:sSubPr>
            <m:ctrlPr>
              <w:rPr>
                <w:rFonts w:hint="eastAsia" w:ascii="Cambria Math" w:hAnsi="Cambria Math"/>
                <w:sz w:val="20"/>
                <w:szCs w:val="20"/>
              </w:rPr>
            </m:ctrlPr>
          </m:sSubPr>
          <m:e>
            <m:r>
              <m:rPr>
                <m:sty m:val="p"/>
              </m:rPr>
              <w:rPr>
                <w:rFonts w:hint="eastAsia"/>
                <w:sz w:val="20"/>
                <w:szCs w:val="20"/>
              </w:rPr>
              <m:t>I</m:t>
            </m:r>
            <m:ctrlPr>
              <w:rPr>
                <w:rFonts w:hint="eastAsia" w:ascii="Cambria Math" w:hAnsi="Cambria Math"/>
                <w:sz w:val="20"/>
                <w:szCs w:val="20"/>
              </w:rPr>
            </m:ctrlPr>
          </m:e>
          <m:sub>
            <m:r>
              <m:rPr>
                <m:sty m:val="p"/>
              </m:rPr>
              <w:rPr>
                <w:rFonts w:hint="eastAsia"/>
                <w:sz w:val="20"/>
                <w:szCs w:val="20"/>
              </w:rPr>
              <m:t>s</m:t>
            </m:r>
            <m:ctrlPr>
              <w:rPr>
                <w:rFonts w:hint="eastAsia" w:ascii="Cambria Math" w:hAnsi="Cambria Math"/>
                <w:sz w:val="20"/>
                <w:szCs w:val="20"/>
              </w:rPr>
            </m:ctrlPr>
          </m:sub>
        </m:sSub>
        <m:r>
          <m:rPr>
            <m:sty m:val="p"/>
          </m:rPr>
          <w:rPr>
            <w:rFonts w:hint="eastAsia"/>
            <w:sz w:val="20"/>
            <w:szCs w:val="20"/>
          </w:rPr>
          <m:t>ω)</m:t>
        </m:r>
      </m:oMath>
      <w:r>
        <w:rPr>
          <w:rFonts w:hint="eastAsia"/>
          <w:sz w:val="20"/>
          <w:szCs w:val="20"/>
        </w:rPr>
        <w:t>；</w:t>
      </w:r>
      <w:r>
        <w:rPr>
          <w:rFonts w:hint="eastAsia"/>
          <w:sz w:val="20"/>
          <w:szCs w:val="20"/>
          <w:lang w:eastAsia="zh-CN"/>
        </w:rPr>
        <w:t>在</w:t>
      </w:r>
      <w:r>
        <w:rPr>
          <w:rFonts w:hint="eastAsia"/>
          <w:sz w:val="20"/>
          <w:szCs w:val="20"/>
        </w:rPr>
        <w:t>姿态变化</w:t>
      </w:r>
      <w:r>
        <w:rPr>
          <w:rFonts w:hint="eastAsia"/>
          <w:sz w:val="20"/>
          <w:szCs w:val="20"/>
          <w:lang w:eastAsia="zh-CN"/>
        </w:rPr>
        <w:t>不</w:t>
      </w:r>
      <w:r>
        <w:rPr>
          <w:rFonts w:hint="eastAsia"/>
          <w:sz w:val="20"/>
          <w:szCs w:val="20"/>
        </w:rPr>
        <w:t>明显</w:t>
      </w:r>
      <w:r>
        <w:rPr>
          <w:rFonts w:hint="eastAsia"/>
          <w:sz w:val="20"/>
          <w:szCs w:val="20"/>
          <w:lang w:eastAsia="zh-CN"/>
        </w:rPr>
        <w:t>且</w:t>
      </w:r>
      <w:r>
        <w:rPr>
          <w:rFonts w:hint="eastAsia"/>
          <w:sz w:val="20"/>
          <w:szCs w:val="20"/>
        </w:rPr>
        <w:t>机械臂</w:t>
      </w:r>
      <w:r>
        <w:rPr>
          <w:rFonts w:hint="eastAsia"/>
          <w:sz w:val="20"/>
          <w:szCs w:val="20"/>
          <w:lang w:eastAsia="zh-CN"/>
        </w:rPr>
        <w:t>相对底盘基本静止</w:t>
      </w:r>
      <w:r>
        <w:rPr>
          <w:rFonts w:hint="eastAsia"/>
          <w:sz w:val="20"/>
          <w:szCs w:val="20"/>
        </w:rPr>
        <w:t>时，</w:t>
      </w:r>
      <w:r>
        <w:rPr>
          <w:rFonts w:hint="eastAsia"/>
          <w:sz w:val="20"/>
          <w:szCs w:val="20"/>
          <w:lang w:val="en-US" w:eastAsia="zh-CN"/>
        </w:rPr>
        <w:t>此</w:t>
      </w:r>
      <w:r>
        <w:rPr>
          <w:rFonts w:hint="eastAsia"/>
          <w:sz w:val="20"/>
          <w:szCs w:val="20"/>
        </w:rPr>
        <w:t>近似</w:t>
      </w:r>
      <w:r>
        <w:rPr>
          <w:rFonts w:hint="eastAsia"/>
          <w:sz w:val="20"/>
          <w:szCs w:val="20"/>
          <w:lang w:val="en-US" w:eastAsia="zh-CN"/>
        </w:rPr>
        <w:t>能够满足较高</w:t>
      </w:r>
      <w:r>
        <w:rPr>
          <w:rFonts w:hint="eastAsia"/>
          <w:sz w:val="20"/>
          <w:szCs w:val="20"/>
          <w:lang w:eastAsia="zh-CN"/>
        </w:rPr>
        <w:t>精度</w:t>
      </w:r>
      <w:r>
        <w:rPr>
          <w:rFonts w:hint="eastAsia"/>
          <w:sz w:val="20"/>
          <w:szCs w:val="20"/>
          <w:lang w:val="en-US" w:eastAsia="zh-CN"/>
        </w:rPr>
        <w:t>的建模和解算</w:t>
      </w:r>
      <w:r>
        <w:rPr>
          <w:rFonts w:hint="eastAsia"/>
          <w:sz w:val="20"/>
          <w:szCs w:val="20"/>
        </w:rPr>
        <w:t>。</w:t>
      </w:r>
      <w:r>
        <w:rPr>
          <w:rFonts w:hint="eastAsia"/>
          <w:sz w:val="20"/>
          <w:szCs w:val="20"/>
          <w:lang w:eastAsia="zh-CN"/>
        </w:rPr>
        <w:t>足端力的</w:t>
      </w:r>
      <w:r>
        <w:rPr>
          <w:rFonts w:hint="eastAsia"/>
          <w:sz w:val="20"/>
          <w:szCs w:val="20"/>
        </w:rPr>
        <w:t>最小范数分配为</w:t>
      </w:r>
    </w:p>
    <w:tbl>
      <w:tblPr>
        <w:tblStyle w:val="10"/>
        <w:tblW w:w="4866" w:type="dxa"/>
        <w:tblCaption w:val="Equation 1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67C3E56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D68AA4C">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e</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
                  </m:rPr>
                  <w:rPr>
                    <w:rFonts w:ascii="Cambria Math" w:hAnsi="Cambria Math" w:eastAsia="Cambria Math" w:cs="Cambria Math"/>
                    <w:sz w:val="18"/>
                    <w:szCs w:val="18"/>
                  </w:rPr>
                  <m:t>H</m:t>
                </m:r>
                <m:sSup>
                  <m:sSupPr/>
                  <m:e>
                    <m:r>
                      <m:rPr>
                        <m:sty m:val="b"/>
                      </m:rPr>
                      <w:rPr>
                        <w:rFonts w:ascii="Cambria Math" w:hAnsi="Cambria Math" w:eastAsia="Cambria Math" w:cs="Cambria Math"/>
                        <w:sz w:val="18"/>
                        <w:szCs w:val="18"/>
                      </w:rPr>
                      <m:t>H</m:t>
                    </m:r>
                  </m:e>
                  <m:sup>
                    <m:r>
                      <m:rPr>
                        <m:sty m:val="p"/>
                      </m:rPr>
                      <w:rPr>
                        <w:rFonts w:ascii="Cambria Math" w:hAnsi="Cambria Math" w:eastAsia="Cambria Math" w:cs="Cambria Math"/>
                        <w:sz w:val="18"/>
                        <w:szCs w:val="18"/>
                      </w:rPr>
                      <m:t>T</m:t>
                    </m:r>
                  </m:sup>
                </m:sSup>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sup>
                </m:sSup>
                <m:sSub>
                  <m:sSubPr/>
                  <m:e>
                    <m:r>
                      <m:rPr>
                        <m:sty m:val="bi"/>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dyn</m:t>
                    </m:r>
                  </m:sub>
                </m:sSub>
                <m:r>
                  <m:rPr>
                    <m:sty m:val="p"/>
                  </m:rPr>
                  <w:rPr>
                    <w:rFonts w:ascii="Cambria Math" w:hAnsi="Cambria Math" w:eastAsia="Cambria Math" w:cs="Cambria Math"/>
                    <w:sz w:val="18"/>
                    <w:szCs w:val="18"/>
                  </w:rPr>
                  <m:t>,</m:t>
                </m:r>
              </m:oMath>
            </m:oMathPara>
          </w:p>
        </w:tc>
        <w:tc>
          <w:tcPr>
            <w:tcW w:w="390" w:type="dxa"/>
            <w:vAlign w:val="center"/>
          </w:tcPr>
          <w:p w14:paraId="2EC6006A">
            <w:pPr>
              <w:numPr>
                <w:ilvl w:val="0"/>
                <w:numId w:val="0"/>
              </w:numPr>
              <w:snapToGrid w:val="0"/>
              <w:jc w:val="right"/>
              <w:rPr>
                <w:sz w:val="16"/>
              </w:rPr>
            </w:pPr>
            <w:r>
              <w:rPr>
                <w:sz w:val="16"/>
                <w:szCs w:val="16"/>
              </w:rPr>
              <w:t>(17)</w:t>
            </w:r>
          </w:p>
        </w:tc>
      </w:tr>
    </w:tbl>
    <w:p w14:paraId="3AFAEA53">
      <w:pPr>
        <w:pStyle w:val="7"/>
        <w:numPr>
          <w:ilvl w:val="0"/>
          <w:numId w:val="0"/>
        </w:numPr>
        <w:snapToGrid w:val="0"/>
        <w:rPr>
          <w:rFonts w:hint="eastAsia"/>
          <w:sz w:val="20"/>
          <w:szCs w:val="20"/>
        </w:rPr>
      </w:pPr>
      <w:r>
        <w:rPr>
          <w:rFonts w:hint="eastAsia"/>
          <w:sz w:val="20"/>
          <w:szCs w:val="20"/>
        </w:rPr>
        <w:t>右侧逆矩阵形式仅在</w:t>
      </w:r>
      <w:r>
        <w:rPr>
          <w:sz w:val="20"/>
          <w:szCs w:val="20"/>
        </w:rPr>
        <w:t xml:space="preserve"> </w:t>
      </w:r>
      <m:oMath>
        <m:r>
          <m:rPr>
            <m:sty m:val="b"/>
          </m:rPr>
          <w:rPr>
            <w:rFonts w:ascii="Cambria Math" w:hAnsi="Cambria Math" w:eastAsia="Cambria Math" w:cs="Cambria Math"/>
            <w:sz w:val="20"/>
            <w:szCs w:val="20"/>
          </w:rPr>
          <m:t>H</m:t>
        </m:r>
      </m:oMath>
      <w:r>
        <w:rPr>
          <w:sz w:val="20"/>
          <w:szCs w:val="20"/>
        </w:rPr>
        <w:t xml:space="preserve"> </w:t>
      </w:r>
      <w:r>
        <w:rPr>
          <w:rFonts w:hint="eastAsia"/>
          <w:sz w:val="20"/>
          <w:szCs w:val="20"/>
        </w:rPr>
        <w:t>满行秩时成立。在本文的常态四轮接地构型下，四个触点不全共线，因此该矩阵的秩为 6，满足满行秩条件。该解</w:t>
      </w:r>
      <w:r>
        <w:rPr>
          <w:rFonts w:hint="eastAsia"/>
          <w:sz w:val="20"/>
          <w:szCs w:val="20"/>
          <w:lang w:val="en-US" w:eastAsia="zh-CN"/>
        </w:rPr>
        <w:t>能够实现</w:t>
      </w:r>
      <w:r>
        <w:rPr>
          <w:rFonts w:hint="eastAsia"/>
          <w:sz w:val="20"/>
          <w:szCs w:val="20"/>
        </w:rPr>
        <w:t>接触力欧氏范数</w:t>
      </w:r>
      <w:r>
        <w:rPr>
          <w:rFonts w:hint="eastAsia"/>
          <w:sz w:val="20"/>
          <w:szCs w:val="20"/>
          <w:lang w:val="en-US" w:eastAsia="zh-CN"/>
        </w:rPr>
        <w:t>的</w:t>
      </w:r>
      <w:r>
        <w:rPr>
          <w:rFonts w:hint="eastAsia"/>
          <w:sz w:val="20"/>
          <w:szCs w:val="20"/>
        </w:rPr>
        <w:t>最小化。</w:t>
      </w:r>
    </w:p>
    <w:bookmarkEnd w:id="8"/>
    <w:p w14:paraId="1F9BE2B0">
      <w:pPr>
        <w:pStyle w:val="4"/>
        <w:numPr>
          <w:ilvl w:val="2"/>
          <w:numId w:val="0"/>
        </w:numPr>
        <w:snapToGrid w:val="0"/>
      </w:pPr>
      <w:bookmarkStart w:id="9" w:name="姿态控制器"/>
      <w:r>
        <w:t>6) 姿态控制器</w:t>
      </w:r>
    </w:p>
    <w:p w14:paraId="3D05A0BA">
      <w:pPr>
        <w:pStyle w:val="7"/>
        <w:numPr>
          <w:ilvl w:val="0"/>
          <w:numId w:val="0"/>
        </w:numPr>
        <w:snapToGrid w:val="0"/>
        <w:rPr>
          <w:rFonts w:hint="eastAsia"/>
          <w:sz w:val="20"/>
          <w:szCs w:val="20"/>
        </w:rPr>
      </w:pPr>
      <w:r>
        <w:rPr>
          <w:rFonts w:hint="eastAsia"/>
          <w:sz w:val="20"/>
          <w:szCs w:val="20"/>
          <w:lang w:val="en-US" w:eastAsia="zh-CN"/>
        </w:rPr>
        <w:t>因为</w:t>
      </w:r>
      <w:r>
        <w:rPr>
          <w:rFonts w:hint="eastAsia"/>
          <w:sz w:val="20"/>
          <w:szCs w:val="20"/>
        </w:rPr>
        <w:t>固定腿部关节姿态难以适应地面高度变化</w:t>
      </w:r>
      <w:r>
        <w:rPr>
          <w:rFonts w:hint="eastAsia"/>
          <w:sz w:val="20"/>
          <w:szCs w:val="20"/>
          <w:lang w:eastAsia="zh-CN"/>
        </w:rPr>
        <w:t>，</w:t>
      </w:r>
      <w:r>
        <w:rPr>
          <w:rFonts w:hint="eastAsia"/>
          <w:sz w:val="20"/>
          <w:szCs w:val="20"/>
        </w:rPr>
        <w:t xml:space="preserve">本文根据姿态误差增量调整腿长，以惯性测量单元（IMU）提供的滚转角 </w:t>
      </w:r>
      <m:oMath>
        <m:r>
          <m:rPr>
            <m:sty m:val="p"/>
          </m:rPr>
          <w:rPr>
            <w:rFonts w:hint="eastAsia"/>
            <w:sz w:val="20"/>
            <w:szCs w:val="20"/>
          </w:rPr>
          <m:t>ϕ</m:t>
        </m:r>
      </m:oMath>
      <w:r>
        <w:rPr>
          <w:rFonts w:hint="eastAsia"/>
          <w:sz w:val="20"/>
          <w:szCs w:val="20"/>
        </w:rPr>
        <w:t xml:space="preserve">、俯仰角 </w:t>
      </w:r>
      <m:oMath>
        <m:r>
          <m:rPr>
            <m:sty m:val="p"/>
          </m:rPr>
          <w:rPr>
            <w:rFonts w:hint="eastAsia"/>
            <w:sz w:val="20"/>
            <w:szCs w:val="20"/>
          </w:rPr>
          <m:t>θ</m:t>
        </m:r>
      </m:oMath>
      <w:r>
        <w:rPr>
          <w:rFonts w:hint="eastAsia"/>
          <w:sz w:val="20"/>
          <w:szCs w:val="20"/>
        </w:rPr>
        <w:t xml:space="preserve"> 及角速度作为反馈。本文采用角度—角速度双环 P 控制，并</w:t>
      </w:r>
      <w:r>
        <w:rPr>
          <w:rFonts w:hint="eastAsia"/>
          <w:sz w:val="20"/>
          <w:szCs w:val="20"/>
          <w:lang w:eastAsia="zh-CN"/>
        </w:rPr>
        <w:t>将输出值作为</w:t>
      </w:r>
      <w:r>
        <w:rPr>
          <w:rFonts w:hint="eastAsia"/>
          <w:sz w:val="20"/>
          <w:szCs w:val="20"/>
        </w:rPr>
        <w:t>腿高修正</w:t>
      </w:r>
      <w:r>
        <w:rPr>
          <w:rFonts w:hint="eastAsia"/>
          <w:sz w:val="20"/>
          <w:szCs w:val="20"/>
          <w:lang w:eastAsia="zh-CN"/>
        </w:rPr>
        <w:t>量增量</w:t>
      </w:r>
      <w:r>
        <w:rPr>
          <w:rFonts w:hint="eastAsia"/>
          <w:sz w:val="20"/>
          <w:szCs w:val="20"/>
        </w:rPr>
        <w:t xml:space="preserve">。闭环控制结构如 Fig. 6 所示。对任一姿态轴 </w:t>
      </w:r>
      <m:oMath>
        <m:r>
          <m:rPr>
            <m:sty m:val="p"/>
          </m:rPr>
          <w:rPr>
            <w:rFonts w:hint="eastAsia"/>
            <w:sz w:val="20"/>
            <w:szCs w:val="20"/>
          </w:rPr>
          <m:t>χ∈{ϕ,θ}</m:t>
        </m:r>
      </m:oMath>
      <w:r>
        <w:rPr>
          <w:rFonts w:hint="eastAsia"/>
          <w:sz w:val="20"/>
          <w:szCs w:val="20"/>
        </w:rPr>
        <w:t>，可写为</w:t>
      </w:r>
    </w:p>
    <w:tbl>
      <w:tblPr>
        <w:tblStyle w:val="10"/>
        <w:tblW w:w="4866" w:type="dxa"/>
        <w:tblCaption w:val="Equation 1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D8B277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3542C039">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χ</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χ</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p,</m:t>
                        </m:r>
                        <m:r>
                          <m:rPr/>
                          <w:rPr>
                            <w:rFonts w:ascii="Cambria Math" w:hAnsi="Cambria Math" w:eastAsia="Cambria Math" w:cs="Cambria Math"/>
                            <w:sz w:val="18"/>
                            <w:szCs w:val="18"/>
                          </w:rPr>
                          <m:t>χ</m:t>
                        </m:r>
                      </m:sub>
                    </m:sSub>
                    <m:sSub>
                      <m:sSubPr/>
                      <m:e>
                        <m:r>
                          <m:rPr/>
                          <w:rPr>
                            <w:rFonts w:ascii="Cambria Math" w:hAnsi="Cambria Math" w:eastAsia="Cambria Math" w:cs="Cambria Math"/>
                            <w:sz w:val="18"/>
                            <w:szCs w:val="18"/>
                          </w:rPr>
                          <m:t>e</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h,</m:t>
                        </m:r>
                        <m:r>
                          <m:rPr/>
                          <w:rPr>
                            <w:rFonts w:ascii="Cambria Math" w:hAnsi="Cambria Math" w:eastAsia="Cambria Math" w:cs="Cambria Math"/>
                            <w:sz w:val="18"/>
                            <w:szCs w:val="18"/>
                          </w:rPr>
                          <m:t>χ</m:t>
                        </m:r>
                      </m:sub>
                    </m:sSub>
                    <m:d>
                      <m:dPr>
                        <m:sepChr m:val=""/>
                      </m:dPr>
                      <m:e>
                        <m:sSub>
                          <m:sSubPr/>
                          <m:e>
                            <m:acc>
                              <m:accPr>
                                <m:chr m:val="̇"/>
                              </m:accPr>
                              <m:e>
                                <m:r>
                                  <m:rPr/>
                                  <w:rPr>
                                    <w:rFonts w:ascii="Cambria Math" w:hAnsi="Cambria Math" w:eastAsia="Cambria Math" w:cs="Cambria Math"/>
                                    <w:sz w:val="18"/>
                                    <w:szCs w:val="18"/>
                                  </w:rPr>
                                  <m:t>χ</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acc>
                          <m:accPr>
                            <m:chr m:val="̇"/>
                          </m:accPr>
                          <m:e>
                            <m:r>
                              <m:rPr/>
                              <w:rPr>
                                <w:rFonts w:ascii="Cambria Math" w:hAnsi="Cambria Math" w:eastAsia="Cambria Math" w:cs="Cambria Math"/>
                                <w:sz w:val="18"/>
                                <w:szCs w:val="18"/>
                              </w:rPr>
                              <m:t>χ</m:t>
                            </m:r>
                          </m:e>
                        </m:acc>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]+Δ</m:t>
                    </m:r>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χ</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e>
                </m:eqArr>
              </m:oMath>
            </m:oMathPara>
          </w:p>
        </w:tc>
        <w:tc>
          <w:tcPr>
            <w:tcW w:w="390" w:type="dxa"/>
            <w:vAlign w:val="center"/>
          </w:tcPr>
          <w:p w14:paraId="45460297">
            <w:pPr>
              <w:numPr>
                <w:ilvl w:val="0"/>
                <w:numId w:val="0"/>
              </w:numPr>
              <w:snapToGrid w:val="0"/>
              <w:jc w:val="right"/>
              <w:rPr>
                <w:sz w:val="16"/>
              </w:rPr>
            </w:pPr>
            <w:r>
              <w:rPr>
                <w:sz w:val="16"/>
                <w:szCs w:val="16"/>
              </w:rPr>
              <w:t>(18)</w:t>
            </w:r>
          </w:p>
        </w:tc>
      </w:tr>
    </w:tbl>
    <w:p w14:paraId="571A4266">
      <w:pPr>
        <w:pStyle w:val="7"/>
        <w:numPr>
          <w:ilvl w:val="0"/>
          <w:numId w:val="0"/>
        </w:numPr>
        <w:snapToGrid w:val="0"/>
        <w:rPr>
          <w:sz w:val="20"/>
        </w:rPr>
      </w:pPr>
      <w:r>
        <w:rPr>
          <w:rFonts w:hint="eastAsia"/>
          <w:sz w:val="20"/>
          <w:szCs w:val="20"/>
        </w:rPr>
        <w:t>其中，</w:t>
      </w:r>
      <m:oMath>
        <m:r>
          <m:rPr/>
          <w:rPr>
            <w:rFonts w:ascii="Cambria Math" w:hAnsi="Cambria Math" w:eastAsia="Cambria Math" w:cs="Cambria Math"/>
            <w:sz w:val="20"/>
            <w:szCs w:val="20"/>
          </w:rPr>
          <m:t>k</m:t>
        </m:r>
      </m:oMath>
      <w:r>
        <w:rPr>
          <w:rFonts w:hint="eastAsia"/>
          <w:sz w:val="20"/>
          <w:szCs w:val="20"/>
        </w:rPr>
        <w:t xml:space="preserve"> 为采样序号；</w:t>
      </w:r>
      <m:oMath>
        <m:r>
          <m:rPr/>
          <w:rPr>
            <w:rFonts w:ascii="Cambria Math" w:hAnsi="Cambria Math" w:eastAsia="Cambria Math" w:cs="Cambria Math"/>
            <w:sz w:val="20"/>
            <w:szCs w:val="20"/>
          </w:rPr>
          <m:t>χ</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和 </w:t>
      </w:r>
      <m:oMath>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分别为当前与期望姿态角，</w:t>
      </w:r>
      <m:oMath>
        <m:sSub>
          <m:sSubPr/>
          <m:e>
            <m:r>
              <m:rPr/>
              <w:rPr>
                <w:rFonts w:ascii="Cambria Math" w:hAnsi="Cambria Math" w:eastAsia="Cambria Math" w:cs="Cambria Math"/>
                <w:sz w:val="20"/>
                <w:szCs w:val="20"/>
              </w:rPr>
              <m:t>e</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为姿态角误差，单位均为弧度。</w:t>
      </w:r>
      <m:oMath>
        <m:acc>
          <m:accPr>
            <m:chr m:val="̇"/>
          </m:accPr>
          <m:e>
            <m:r>
              <m:rPr/>
              <w:rPr>
                <w:rFonts w:ascii="Cambria Math" w:hAnsi="Cambria Math" w:eastAsia="Cambria Math" w:cs="Cambria Math"/>
                <w:sz w:val="20"/>
                <w:szCs w:val="20"/>
              </w:rPr>
              <m:t>χ</m:t>
            </m:r>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 IMU 测得的当前角速度，</w:t>
      </w:r>
      <m:oMath>
        <m:acc>
          <m:accPr>
            <m:chr m:val="̇"/>
          </m:accPr>
          <m:e>
            <m:sSub>
              <m:sSubPr/>
              <m:e>
                <m:r>
                  <m:rPr/>
                  <w:rPr>
                    <w:rFonts w:ascii="Cambria Math" w:hAnsi="Cambria Math" w:eastAsia="Cambria Math" w:cs="Cambria Math"/>
                    <w:sz w:val="20"/>
                    <w:szCs w:val="20"/>
                  </w:rPr>
                  <m:t>χ</m:t>
                </m:r>
              </m:e>
              <m:sub>
                <m:r>
                  <m:rPr>
                    <m:sty m:val="p"/>
                  </m:rPr>
                  <w:rPr>
                    <w:rFonts w:ascii="Cambria Math" w:hAnsi="Cambria Math" w:eastAsia="Cambria Math" w:cs="Cambria Math"/>
                    <w:sz w:val="20"/>
                    <w:szCs w:val="20"/>
                  </w:rPr>
                  <m:t>d</m:t>
                </m:r>
              </m:sub>
            </m:sSub>
          </m:e>
        </m:acc>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为角度环给出的期望角速度，单位为弧度每秒。</w:t>
      </w:r>
    </w:p>
    <w:p w14:paraId="6F107001">
      <w:pPr>
        <w:pStyle w:val="7"/>
        <w:numPr>
          <w:ilvl w:val="0"/>
          <w:numId w:val="0"/>
        </w:numPr>
        <w:snapToGrid w:val="0"/>
        <w:rPr>
          <w:rFonts w:hint="eastAsia"/>
          <w:sz w:val="20"/>
          <w:szCs w:val="20"/>
        </w:rPr>
      </w:pP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p,</m:t>
            </m:r>
            <m:r>
              <m:rPr/>
              <w:rPr>
                <w:rFonts w:ascii="Cambria Math" w:hAnsi="Cambria Math" w:eastAsia="Cambria Math" w:cs="Cambria Math"/>
                <w:sz w:val="20"/>
                <w:szCs w:val="20"/>
              </w:rPr>
              <m:t>χ</m:t>
            </m:r>
          </m:sub>
        </m:sSub>
      </m:oMath>
      <w:r>
        <w:rPr>
          <w:rFonts w:hint="eastAsia"/>
          <w:sz w:val="20"/>
          <w:szCs w:val="20"/>
        </w:rPr>
        <w:t xml:space="preserve"> 为角度环比例增益，将姿态角误差转换为期望角速度；</w:t>
      </w:r>
      <m:oMath>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h,</m:t>
            </m:r>
            <m:r>
              <m:rPr/>
              <w:rPr>
                <w:rFonts w:ascii="Cambria Math" w:hAnsi="Cambria Math" w:eastAsia="Cambria Math" w:cs="Cambria Math"/>
                <w:sz w:val="20"/>
                <w:szCs w:val="20"/>
              </w:rPr>
              <m:t>χ</m:t>
            </m:r>
          </m:sub>
        </m:sSub>
      </m:oMath>
      <w:r>
        <w:rPr>
          <w:rFonts w:hint="eastAsia"/>
          <w:sz w:val="20"/>
          <w:szCs w:val="20"/>
        </w:rPr>
        <w:t xml:space="preserve"> 为角速度环比例增益，将角速度误差转换为本</w:t>
      </w:r>
      <w:r>
        <w:rPr>
          <w:rFonts w:hint="eastAsia"/>
          <w:sz w:val="20"/>
          <w:szCs w:val="20"/>
          <w:lang w:eastAsia="zh-CN"/>
        </w:rPr>
        <w:t>计算</w:t>
      </w:r>
      <w:r>
        <w:rPr>
          <w:rFonts w:hint="eastAsia"/>
          <w:sz w:val="20"/>
          <w:szCs w:val="20"/>
        </w:rPr>
        <w:t>周期的</w:t>
      </w:r>
      <w:r>
        <w:rPr>
          <w:rFonts w:hint="eastAsia"/>
          <w:sz w:val="20"/>
          <w:szCs w:val="20"/>
          <w:lang w:eastAsia="zh-CN"/>
        </w:rPr>
        <w:t>腿高</w:t>
      </w:r>
      <w:r>
        <w:rPr>
          <w:rFonts w:hint="eastAsia"/>
          <w:sz w:val="20"/>
          <w:szCs w:val="20"/>
        </w:rPr>
        <w:t xml:space="preserve">修正增量 </w:t>
      </w:r>
      <m:oMath>
        <m:r>
          <m:rPr>
            <m:sty m:val="p"/>
          </m:rPr>
          <w:rPr>
            <w:rFonts w:ascii="Cambria Math" w:hAnsi="Cambria Math" w:eastAsia="Cambria Math" w:cs="Cambria Math"/>
            <w:sz w:val="20"/>
            <w:szCs w:val="20"/>
          </w:rPr>
          <m:t>Δ</m:t>
        </m:r>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χ</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k</m:t>
        </m:r>
        <m:r>
          <m:rPr>
            <m:sty m:val="p"/>
          </m:rPr>
          <w:rPr>
            <w:rFonts w:ascii="Cambria Math" w:hAnsi="Cambria Math" w:eastAsia="Cambria Math" w:cs="Cambria Math"/>
            <w:sz w:val="20"/>
            <w:szCs w:val="20"/>
          </w:rPr>
          <m:t>]</m:t>
        </m:r>
      </m:oMath>
      <w:r>
        <w:rPr>
          <w:rFonts w:hint="eastAsia"/>
          <w:sz w:val="20"/>
          <w:szCs w:val="20"/>
        </w:rPr>
        <w:t xml:space="preserve"> 为累加后的</w:t>
      </w:r>
      <w:r>
        <w:rPr>
          <w:rFonts w:hint="eastAsia"/>
          <w:sz w:val="20"/>
          <w:szCs w:val="20"/>
          <w:lang w:eastAsia="zh-CN"/>
        </w:rPr>
        <w:t>腿高</w:t>
      </w:r>
      <w:r>
        <w:rPr>
          <w:rFonts w:hint="eastAsia"/>
          <w:sz w:val="20"/>
          <w:szCs w:val="20"/>
        </w:rPr>
        <w:t>修正量，</w:t>
      </w:r>
      <m:oMath>
        <m:sSub>
          <m:sSubPr>
            <m:ctrlPr>
              <w:rPr>
                <w:rFonts w:hint="eastAsia" w:ascii="Cambria Math" w:hAnsi="Cambria Math"/>
                <w:sz w:val="20"/>
                <w:szCs w:val="20"/>
              </w:rPr>
            </m:ctrlPr>
          </m:sSubPr>
          <m:e>
            <m:r>
              <m:rPr>
                <m:sty m:val="p"/>
              </m:rPr>
              <w:rPr>
                <w:rFonts w:hint="eastAsia"/>
                <w:sz w:val="20"/>
                <w:szCs w:val="20"/>
              </w:rPr>
              <m:t>u</m:t>
            </m:r>
            <m:ctrlPr>
              <w:rPr>
                <w:rFonts w:hint="eastAsia" w:ascii="Cambria Math" w:hAnsi="Cambria Math"/>
                <w:sz w:val="20"/>
                <w:szCs w:val="20"/>
              </w:rPr>
            </m:ctrlPr>
          </m:e>
          <m:sub>
            <m:r>
              <m:rPr>
                <m:sty m:val="p"/>
              </m:rPr>
              <w:rPr>
                <w:rFonts w:hint="eastAsia"/>
                <w:sz w:val="20"/>
                <w:szCs w:val="20"/>
              </w:rPr>
              <m:t>χ</m:t>
            </m:r>
            <m:ctrlPr>
              <w:rPr>
                <w:rFonts w:hint="eastAsia" w:ascii="Cambria Math" w:hAnsi="Cambria Math"/>
                <w:sz w:val="20"/>
                <w:szCs w:val="20"/>
              </w:rPr>
            </m:ctrlPr>
          </m:sub>
        </m:sSub>
        <m:r>
          <m:rPr>
            <m:sty m:val="p"/>
          </m:rPr>
          <w:rPr>
            <w:rFonts w:hint="eastAsia"/>
            <w:sz w:val="20"/>
            <w:szCs w:val="20"/>
          </w:rPr>
          <m:t>[k−1]</m:t>
        </m:r>
      </m:oMath>
      <w:r>
        <w:rPr>
          <w:rFonts w:hint="eastAsia"/>
          <w:sz w:val="20"/>
          <w:szCs w:val="20"/>
        </w:rPr>
        <w:t xml:space="preserve"> 为上一周期的值；</w:t>
      </w:r>
      <w:r>
        <w:rPr>
          <w:rFonts w:hint="eastAsia"/>
          <w:sz w:val="20"/>
          <w:szCs w:val="20"/>
          <w:lang w:eastAsia="zh-CN"/>
        </w:rPr>
        <w:t>腿高</w:t>
      </w:r>
      <w:r>
        <w:rPr>
          <w:rFonts w:hint="eastAsia"/>
          <w:sz w:val="20"/>
          <w:szCs w:val="20"/>
        </w:rPr>
        <w:t>修正量及其增量的单位均为米。</w:t>
      </w:r>
    </w:p>
    <w:p w14:paraId="194B4AE2">
      <w:pPr>
        <w:pStyle w:val="7"/>
        <w:numPr>
          <w:ilvl w:val="0"/>
          <w:numId w:val="0"/>
        </w:numPr>
        <w:snapToGrid w:val="0"/>
        <w:rPr>
          <w:sz w:val="20"/>
        </w:rPr>
      </w:pPr>
      <w:r>
        <w:rPr>
          <w:rFonts w:hint="eastAsia"/>
          <w:sz w:val="20"/>
          <w:szCs w:val="20"/>
          <w:lang w:eastAsia="zh-CN"/>
        </w:rPr>
        <w:t>腿高</w:t>
      </w:r>
      <w:r>
        <w:rPr>
          <w:rFonts w:hint="eastAsia"/>
          <w:sz w:val="20"/>
          <w:szCs w:val="20"/>
        </w:rPr>
        <w:t>按四轮在机体系中的分布进行分配。</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,x</m:t>
            </m:r>
          </m:sub>
        </m:sSub>
      </m:oMath>
      <w:r>
        <w:rPr>
          <w:rFonts w:hint="eastAsia"/>
          <w:sz w:val="20"/>
          <w:szCs w:val="20"/>
        </w:rPr>
        <w:t>、</w:t>
      </w:r>
      <m:oMath>
        <m:sSub>
          <m:sSubPr/>
          <m:e>
            <m:r>
              <m:rPr/>
              <w:rPr>
                <w:rFonts w:ascii="Cambria Math" w:hAnsi="Cambria Math" w:eastAsia="Cambria Math" w:cs="Cambria Math"/>
                <w:sz w:val="20"/>
                <w:szCs w:val="20"/>
              </w:rPr>
              <m:t>p</m:t>
            </m:r>
          </m:e>
          <m:sub>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,y</m:t>
            </m:r>
          </m:sub>
        </m:sSub>
      </m:oMath>
      <w:r>
        <w:rPr>
          <w:rFonts w:hint="eastAsia"/>
          <w:sz w:val="20"/>
          <w:szCs w:val="20"/>
        </w:rPr>
        <w:t xml:space="preserve"> 为轮心位置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i</m:t>
            </m:r>
          </m:sub>
        </m:sSub>
      </m:oMath>
      <w:r>
        <w:rPr>
          <w:rFonts w:hint="eastAsia"/>
          <w:sz w:val="20"/>
          <w:szCs w:val="20"/>
        </w:rPr>
        <w:t xml:space="preserve"> 的前向、左向分量；</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b</m:t>
            </m:r>
          </m:sub>
        </m:sSub>
      </m:oMath>
      <w:r>
        <w:rPr>
          <w:rFonts w:hint="eastAsia"/>
          <w:sz w:val="20"/>
          <w:szCs w:val="20"/>
        </w:rPr>
        <w:t>、</w:t>
      </w:r>
      <m:oMath>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b</m:t>
            </m:r>
          </m:sub>
        </m:sSub>
      </m:oMath>
      <w:r>
        <w:rPr>
          <w:rFonts w:hint="eastAsia"/>
          <w:sz w:val="20"/>
          <w:szCs w:val="20"/>
        </w:rPr>
        <w:t xml:space="preserve"> 分别为前后、左右轮心间距的一半，均为正值，上述长度的单位均为米。在四腿近似对称、小姿态角和触点高度暂时固定的条件下，可将修正分配为</w:t>
      </w:r>
    </w:p>
    <w:tbl>
      <w:tblPr>
        <w:tblStyle w:val="10"/>
        <w:tblW w:w="4866" w:type="dxa"/>
        <w:tblCaption w:val="Equation 1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67A32C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0E342114">
            <w:pPr>
              <w:pStyle w:val="17"/>
              <w:numPr>
                <w:ilvl w:val="0"/>
                <w:numId w:val="0"/>
              </w:numPr>
              <w:snapToGrid w:val="0"/>
              <w:spacing w:before="100" w:after="100" w:line="240" w:lineRule="auto"/>
              <w:ind w:left="0" w:right="0" w:firstLine="0"/>
              <w:jc w:val="center"/>
              <w:rPr>
                <w:sz w:val="18"/>
              </w:rPr>
            </w:pPr>
            <m:oMathPara>
              <m:oMathParaPr>
                <m:jc m:val="center"/>
              </m:oMathParaPr>
              <m:oMath>
                <m:sSubSup>
                  <m:sSubSupPr/>
                  <m:e>
                    <m:r>
                      <m:rPr/>
                      <w:rPr>
                        <w:rFonts w:ascii="Cambria Math" w:hAnsi="Cambria Math" w:eastAsia="Cambria Math" w:cs="Cambria Math"/>
                        <w:sz w:val="18"/>
                        <w:szCs w:val="18"/>
                      </w:rPr>
                      <m:t>h</m:t>
                    </m:r>
                  </m:e>
                  <m:sub>
                    <m:r>
                      <m:rPr/>
                      <w:rPr>
                        <w:rFonts w:ascii="Cambria Math" w:hAnsi="Cambria Math" w:eastAsia="Cambria Math" w:cs="Cambria Math"/>
                        <w:sz w:val="18"/>
                        <w:szCs w:val="18"/>
                      </w:rPr>
                      <m:t>i</m:t>
                    </m:r>
                  </m:sub>
                  <m:sup>
                    <m:r>
                      <m:rPr>
                        <m:sty m:val="p"/>
                      </m:rPr>
                      <w:rPr>
                        <w:rFonts w:ascii="Cambria Math" w:hAnsi="Cambria Math" w:eastAsia="Cambria Math" w:cs="Cambria Math"/>
                        <w:sz w:val="18"/>
                        <w:szCs w:val="18"/>
                      </w:rPr>
                      <m:t>d</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h</m:t>
                    </m:r>
                  </m:e>
                  <m:sub>
                    <m:r>
                      <m:rPr/>
                      <w:rPr>
                        <w:rFonts w:ascii="Cambria Math" w:hAnsi="Cambria Math" w:eastAsia="Cambria Math" w:cs="Cambria Math"/>
                        <w:sz w:val="18"/>
                        <w:szCs w:val="18"/>
                      </w:rPr>
                      <m:t>0</m:t>
                    </m:r>
                  </m:sub>
                </m:sSub>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,y</m:t>
                        </m:r>
                      </m:sub>
                    </m:sSub>
                  </m:num>
                  <m:den>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ϕ</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f>
                  <m:fPr/>
                  <m:num>
                    <m:sSub>
                      <m:sSubPr/>
                      <m:e>
                        <m:r>
                          <m:rPr/>
                          <w:rPr>
                            <w:rFonts w:ascii="Cambria Math" w:hAnsi="Cambria Math" w:eastAsia="Cambria Math" w:cs="Cambria Math"/>
                            <w:sz w:val="18"/>
                            <w:szCs w:val="18"/>
                          </w:rPr>
                          <m:t>p</m:t>
                        </m:r>
                      </m:e>
                      <m:sub>
                        <m:r>
                          <m:rPr/>
                          <w:rPr>
                            <w:rFonts w:ascii="Cambria Math" w:hAnsi="Cambria Math" w:eastAsia="Cambria Math" w:cs="Cambria Math"/>
                            <w:sz w:val="18"/>
                            <w:szCs w:val="18"/>
                          </w:rPr>
                          <m:t>i</m:t>
                        </m:r>
                        <m:r>
                          <m:rPr>
                            <m:sty m:val="p"/>
                          </m:rPr>
                          <w:rPr>
                            <w:rFonts w:ascii="Cambria Math" w:hAnsi="Cambria Math" w:eastAsia="Cambria Math" w:cs="Cambria Math"/>
                            <w:sz w:val="18"/>
                            <w:szCs w:val="18"/>
                          </w:rPr>
                          <m:t>,x</m:t>
                        </m:r>
                      </m:sub>
                    </m:sSub>
                  </m:num>
                  <m:den>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b</m:t>
                        </m:r>
                      </m:sub>
                    </m:sSub>
                  </m:den>
                </m:f>
                <m:sSub>
                  <m:sSubPr/>
                  <m:e>
                    <m:r>
                      <m:rPr/>
                      <w:rPr>
                        <w:rFonts w:ascii="Cambria Math" w:hAnsi="Cambria Math" w:eastAsia="Cambria Math" w:cs="Cambria Math"/>
                        <w:sz w:val="18"/>
                        <w:szCs w:val="18"/>
                      </w:rPr>
                      <m:t>u</m:t>
                    </m:r>
                  </m:e>
                  <m:sub>
                    <m:r>
                      <m:rPr/>
                      <w:rPr>
                        <w:rFonts w:ascii="Cambria Math" w:hAnsi="Cambria Math" w:eastAsia="Cambria Math" w:cs="Cambria Math"/>
                        <w:sz w:val="18"/>
                        <w:szCs w:val="18"/>
                      </w:rPr>
                      <m:t>θ</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k</m:t>
                </m:r>
                <m:r>
                  <m:rPr>
                    <m:sty m:val="p"/>
                  </m:rPr>
                  <w:rPr>
                    <w:rFonts w:ascii="Cambria Math" w:hAnsi="Cambria Math" w:eastAsia="Cambria Math" w:cs="Cambria Math"/>
                    <w:sz w:val="18"/>
                    <w:szCs w:val="18"/>
                  </w:rPr>
                  <m:t>].</m:t>
                </m:r>
              </m:oMath>
            </m:oMathPara>
          </w:p>
        </w:tc>
        <w:tc>
          <w:tcPr>
            <w:tcW w:w="390" w:type="dxa"/>
            <w:vAlign w:val="center"/>
          </w:tcPr>
          <w:p w14:paraId="4D4E5648">
            <w:pPr>
              <w:numPr>
                <w:ilvl w:val="0"/>
                <w:numId w:val="0"/>
              </w:numPr>
              <w:snapToGrid w:val="0"/>
              <w:jc w:val="right"/>
              <w:rPr>
                <w:sz w:val="16"/>
              </w:rPr>
            </w:pPr>
            <w:r>
              <w:rPr>
                <w:sz w:val="16"/>
                <w:szCs w:val="16"/>
              </w:rPr>
              <w:t>(19)</w:t>
            </w:r>
          </w:p>
        </w:tc>
      </w:tr>
    </w:tbl>
    <w:p w14:paraId="39AC3763">
      <w:pPr>
        <w:pStyle w:val="7"/>
        <w:numPr>
          <w:ilvl w:val="0"/>
          <w:numId w:val="0"/>
        </w:numPr>
        <w:snapToGrid w:val="0"/>
        <w:rPr>
          <w:rFonts w:hint="eastAsia" w:eastAsia="宋体"/>
          <w:sz w:val="20"/>
          <w:lang w:eastAsia="zh-CN"/>
        </w:rPr>
      </w:pPr>
      <w:r>
        <w:rPr>
          <w:rFonts w:hint="eastAsia"/>
          <w:sz w:val="20"/>
          <w:szCs w:val="20"/>
        </w:rPr>
        <w:t>其中，</w:t>
      </w:r>
      <m:oMath>
        <m:sSub>
          <m:sSubPr/>
          <m:e>
            <m:r>
              <m:rPr/>
              <w:rPr>
                <w:rFonts w:ascii="Cambria Math" w:hAnsi="Cambria Math" w:eastAsia="Cambria Math" w:cs="Cambria Math"/>
                <w:sz w:val="20"/>
                <w:szCs w:val="20"/>
              </w:rPr>
              <m:t>h</m:t>
            </m:r>
          </m:e>
          <m:sub>
            <m:r>
              <m:rPr>
                <m:sty m:val="p"/>
              </m:rPr>
              <w:rPr>
                <w:rFonts w:ascii="Cambria Math" w:hAnsi="Cambria Math" w:eastAsia="Cambria Math" w:cs="Cambria Math"/>
                <w:sz w:val="20"/>
                <w:szCs w:val="20"/>
              </w:rPr>
              <m:t>0</m:t>
            </m:r>
          </m:sub>
        </m:sSub>
      </m:oMath>
      <w:r>
        <w:rPr>
          <w:rFonts w:hint="eastAsia"/>
          <w:sz w:val="20"/>
          <w:szCs w:val="20"/>
        </w:rPr>
        <w:t xml:space="preserve"> 为</w:t>
      </w:r>
      <w:r>
        <w:rPr>
          <w:rFonts w:hint="eastAsia"/>
          <w:sz w:val="20"/>
          <w:szCs w:val="20"/>
          <w:lang w:eastAsia="zh-CN"/>
        </w:rPr>
        <w:t>基准腿高</w:t>
      </w:r>
      <w:r>
        <w:rPr>
          <w:rFonts w:hint="eastAsia"/>
          <w:sz w:val="20"/>
          <w:szCs w:val="20"/>
        </w:rPr>
        <w:t>，</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 xml:space="preserve"> 为第 </w:t>
      </w:r>
      <m:oMath>
        <m:r>
          <m:rPr/>
          <w:rPr>
            <w:rFonts w:ascii="Cambria Math" w:hAnsi="Cambria Math" w:eastAsia="Cambria Math" w:cs="Cambria Math"/>
            <w:sz w:val="20"/>
            <w:szCs w:val="20"/>
          </w:rPr>
          <m:t>i</m:t>
        </m:r>
      </m:oMath>
      <w:r>
        <w:rPr>
          <w:rFonts w:hint="eastAsia"/>
          <w:sz w:val="20"/>
          <w:szCs w:val="20"/>
        </w:rPr>
        <w:t xml:space="preserve"> 条腿的期望</w:t>
      </w:r>
      <w:r>
        <w:rPr>
          <w:rFonts w:hint="eastAsia"/>
          <w:sz w:val="20"/>
          <w:szCs w:val="20"/>
          <w:lang w:eastAsia="zh-CN"/>
        </w:rPr>
        <w:t>腿高</w:t>
      </w:r>
      <w:r>
        <w:rPr>
          <w:rFonts w:hint="eastAsia"/>
          <w:sz w:val="20"/>
          <w:szCs w:val="20"/>
        </w:rPr>
        <w:t>，均以向下为正、单位为米；</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ϕ</m:t>
            </m:r>
          </m:sub>
        </m:sSub>
      </m:oMath>
      <w:r>
        <w:rPr>
          <w:rFonts w:hint="eastAsia"/>
          <w:sz w:val="20"/>
          <w:szCs w:val="20"/>
        </w:rPr>
        <w:t>、</w:t>
      </w:r>
      <m:oMath>
        <m:sSub>
          <m:sSubPr/>
          <m:e>
            <m:r>
              <m:rPr/>
              <w:rPr>
                <w:rFonts w:ascii="Cambria Math" w:hAnsi="Cambria Math" w:eastAsia="Cambria Math" w:cs="Cambria Math"/>
                <w:sz w:val="20"/>
                <w:szCs w:val="20"/>
              </w:rPr>
              <m:t>u</m:t>
            </m:r>
          </m:e>
          <m:sub>
            <m:r>
              <m:rPr/>
              <w:rPr>
                <w:rFonts w:ascii="Cambria Math" w:hAnsi="Cambria Math" w:eastAsia="Cambria Math" w:cs="Cambria Math"/>
                <w:sz w:val="20"/>
                <w:szCs w:val="20"/>
              </w:rPr>
              <m:t>θ</m:t>
            </m:r>
          </m:sub>
        </m:sSub>
      </m:oMath>
      <w:r>
        <w:rPr>
          <w:rFonts w:hint="eastAsia"/>
          <w:sz w:val="20"/>
          <w:szCs w:val="20"/>
        </w:rPr>
        <w:t xml:space="preserve"> 分别为滚转、俯仰控制器输出的</w:t>
      </w:r>
      <w:r>
        <w:rPr>
          <w:rFonts w:hint="eastAsia"/>
          <w:sz w:val="20"/>
          <w:szCs w:val="20"/>
          <w:lang w:eastAsia="zh-CN"/>
        </w:rPr>
        <w:t>腿高</w:t>
      </w:r>
      <w:r>
        <w:rPr>
          <w:rFonts w:hint="eastAsia"/>
          <w:sz w:val="20"/>
          <w:szCs w:val="20"/>
        </w:rPr>
        <w:t>修正量。转换为关节角度时，</w:t>
      </w:r>
      <m:oMath>
        <m:sSub>
          <m:sSubPr/>
          <m:e>
            <m:r>
              <m:rPr/>
              <w:rPr>
                <w:rFonts w:ascii="Cambria Math" w:hAnsi="Cambria Math" w:eastAsia="Cambria Math" w:cs="Cambria Math"/>
                <w:sz w:val="20"/>
                <w:szCs w:val="20"/>
              </w:rPr>
              <m:t>x</m:t>
            </m:r>
          </m:e>
          <m:sub>
            <m:r>
              <m:rPr/>
              <w:rPr>
                <w:rFonts w:ascii="Cambria Math" w:hAnsi="Cambria Math" w:eastAsia="Cambria Math" w:cs="Cambria Math"/>
                <w:sz w:val="20"/>
                <w:szCs w:val="20"/>
              </w:rPr>
              <m:t>i</m:t>
            </m:r>
          </m:sub>
        </m:sSub>
      </m:oMath>
      <w:r>
        <w:rPr>
          <w:rFonts w:hint="eastAsia"/>
          <w:sz w:val="20"/>
          <w:szCs w:val="20"/>
        </w:rPr>
        <w:t>、</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表示第 </w:t>
      </w:r>
      <m:oMath>
        <m:r>
          <m:rPr/>
          <w:rPr>
            <w:rFonts w:ascii="Cambria Math" w:hAnsi="Cambria Math" w:eastAsia="Cambria Math" w:cs="Cambria Math"/>
            <w:sz w:val="20"/>
            <w:szCs w:val="20"/>
          </w:rPr>
          <m:t>i</m:t>
        </m:r>
      </m:oMath>
      <w:r>
        <w:rPr>
          <w:rFonts w:hint="eastAsia"/>
          <w:sz w:val="20"/>
          <w:szCs w:val="20"/>
        </w:rPr>
        <w:t xml:space="preserve"> 个轮心在其腿基坐标系下的目标坐标，分别对应单腿逆运动学中的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a</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a</m:t>
            </m:r>
          </m:sub>
        </m:sSub>
      </m:oMath>
      <w:r>
        <w:rPr>
          <w:rFonts w:hint="eastAsia"/>
          <w:sz w:val="20"/>
          <w:szCs w:val="20"/>
        </w:rPr>
        <w:t xml:space="preserve">。姿态调节保持 </w:t>
      </w:r>
      <m:oMath>
        <m:sSub>
          <m:sSubPr>
            <m:ctrlPr>
              <w:rPr>
                <w:rFonts w:hint="eastAsia" w:ascii="Cambria Math" w:hAnsi="Cambria Math"/>
                <w:sz w:val="20"/>
                <w:szCs w:val="20"/>
              </w:rPr>
            </m:ctrlPr>
          </m:sSubPr>
          <m:e>
            <m:r>
              <m:rPr>
                <m:sty m:val="p"/>
              </m:rPr>
              <w:rPr>
                <w:rFonts w:hint="eastAsia"/>
                <w:sz w:val="20"/>
                <w:szCs w:val="20"/>
              </w:rPr>
              <m:t>x</m:t>
            </m:r>
            <m:ctrlPr>
              <w:rPr>
                <w:rFonts w:hint="eastAsia" w:ascii="Cambria Math" w:hAnsi="Cambria Math"/>
                <w:sz w:val="20"/>
                <w:szCs w:val="20"/>
              </w:rPr>
            </m:ctrlPr>
          </m:e>
          <m:sub>
            <m:r>
              <m:rPr>
                <m:sty m:val="p"/>
              </m:rPr>
              <w:rPr>
                <w:rFonts w:hint="eastAsia"/>
                <w:sz w:val="20"/>
                <w:szCs w:val="20"/>
              </w:rPr>
              <m:t>i</m:t>
            </m:r>
            <m:ctrlPr>
              <w:rPr>
                <w:rFonts w:hint="eastAsia" w:ascii="Cambria Math" w:hAnsi="Cambria Math"/>
                <w:sz w:val="20"/>
                <w:szCs w:val="20"/>
              </w:rPr>
            </m:ctrlPr>
          </m:sub>
        </m:sSub>
      </m:oMath>
      <w:r>
        <w:rPr>
          <w:rFonts w:hint="eastAsia"/>
          <w:sz w:val="20"/>
          <w:szCs w:val="20"/>
        </w:rPr>
        <w:t xml:space="preserve"> 的</w:t>
      </w:r>
      <w:r>
        <w:rPr>
          <w:rFonts w:hint="eastAsia"/>
          <w:sz w:val="20"/>
          <w:szCs w:val="20"/>
          <w:lang w:eastAsia="zh-CN"/>
        </w:rPr>
        <w:t>基准</w:t>
      </w:r>
      <w:r>
        <w:rPr>
          <w:rFonts w:hint="eastAsia"/>
          <w:sz w:val="20"/>
          <w:szCs w:val="20"/>
        </w:rPr>
        <w:t xml:space="preserve">值，并令 </w:t>
      </w:r>
      <m:oMath>
        <m:sSub>
          <m:sSubPr/>
          <m:e>
            <m:r>
              <m:rPr/>
              <w:rPr>
                <w:rFonts w:ascii="Cambria Math" w:hAnsi="Cambria Math" w:eastAsia="Cambria Math" w:cs="Cambria Math"/>
                <w:sz w:val="20"/>
                <w:szCs w:val="20"/>
              </w:rPr>
              <m:t>y</m:t>
            </m:r>
          </m:e>
          <m:sub>
            <m:r>
              <m:rPr/>
              <w:rPr>
                <w:rFonts w:ascii="Cambria Math" w:hAnsi="Cambria Math" w:eastAsia="Cambria Math" w:cs="Cambria Math"/>
                <w:sz w:val="20"/>
                <w:szCs w:val="20"/>
              </w:rPr>
              <m:t>i</m:t>
            </m:r>
          </m:sub>
        </m:sSub>
      </m:oMath>
      <w:r>
        <w:rPr>
          <w:rFonts w:hint="eastAsia"/>
          <w:sz w:val="20"/>
          <w:szCs w:val="20"/>
        </w:rPr>
        <w:t xml:space="preserve"> = −</w:t>
      </w:r>
      <m:oMath>
        <m:sSup>
          <m:sSupPr/>
          <m:e>
            <m:sSub>
              <m:sSubPr/>
              <m:e>
                <m:r>
                  <m:rPr/>
                  <w:rPr>
                    <w:rFonts w:ascii="Cambria Math" w:hAnsi="Cambria Math" w:eastAsia="Cambria Math" w:cs="Cambria Math"/>
                    <w:sz w:val="20"/>
                    <w:szCs w:val="20"/>
                  </w:rPr>
                  <m:t>h</m:t>
                </m:r>
              </m:e>
              <m:sub>
                <m:r>
                  <m:rPr/>
                  <w:rPr>
                    <w:rFonts w:ascii="Cambria Math" w:hAnsi="Cambria Math" w:eastAsia="Cambria Math" w:cs="Cambria Math"/>
                    <w:sz w:val="20"/>
                    <w:szCs w:val="20"/>
                  </w:rPr>
                  <m:t>i</m:t>
                </m:r>
              </m:sub>
            </m:sSub>
          </m:e>
          <m:sup>
            <m:r>
              <m:rPr>
                <m:sty m:val="p"/>
              </m:rPr>
              <w:rPr>
                <w:rFonts w:ascii="Cambria Math" w:hAnsi="Cambria Math" w:eastAsia="Cambria Math" w:cs="Cambria Math"/>
                <w:sz w:val="20"/>
                <w:szCs w:val="20"/>
              </w:rPr>
              <m:t>d</m:t>
            </m:r>
          </m:sup>
        </m:sSup>
      </m:oMath>
      <w:r>
        <w:rPr>
          <w:rFonts w:hint="eastAsia"/>
          <w:sz w:val="20"/>
          <w:szCs w:val="20"/>
        </w:rPr>
        <w:t>，再由单腿逆解得到关节目标。</w:t>
      </w:r>
    </w:p>
    <w:p w14:paraId="6F106001">
      <w:pPr>
        <w:keepNext/>
        <w:keepLines/>
        <w:numPr>
          <w:ilvl w:val="0"/>
          <w:numId w:val="0"/>
        </w:numPr>
        <w:snapToGrid w:val="0"/>
        <w:spacing w:before="60" w:after="60" w:line="240" w:lineRule="auto"/>
        <w:ind w:left="0" w:right="0" w:firstLine="0"/>
        <w:jc w:val="center"/>
      </w:pPr>
      <w:r>
        <w:drawing>
          <wp:inline distT="0" distB="0" distL="0" distR="0">
            <wp:extent cx="3059430" cy="4307840"/>
            <wp:effectExtent l="0" t="0" r="7620" b="6985"/>
            <wp:docPr id="27" name="Fig. 6" descr="底盘姿态控制器闭环方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 6" descr="底盘姿态控制器闭环方框图"/>
                    <pic:cNvPicPr>
                      <a:picLocks noChangeAspect="1"/>
                    </pic:cNvPicPr>
                  </pic:nvPicPr>
                  <pic:blipFill>
                    <a:blip r:embed="rId12"/>
                    <a:stretch>
                      <a:fillRect/>
                    </a:stretch>
                  </pic:blipFill>
                  <pic:spPr>
                    <a:xfrm>
                      <a:off x="0" y="0"/>
                      <a:ext cx="3060000" cy="4308158"/>
                    </a:xfrm>
                    <a:prstGeom prst="rect">
                      <a:avLst/>
                    </a:prstGeom>
                  </pic:spPr>
                </pic:pic>
              </a:graphicData>
            </a:graphic>
          </wp:inline>
        </w:drawing>
      </w:r>
    </w:p>
    <w:p w14:paraId="6F106002">
      <w:pPr>
        <w:pStyle w:val="18"/>
        <w:numPr>
          <w:ilvl w:val="0"/>
          <w:numId w:val="0"/>
        </w:numPr>
        <w:snapToGrid w:val="0"/>
      </w:pPr>
      <w:r>
        <w:t>Fig. 6. 底盘姿态控制器闭环方框图。滚转与俯仰分别采用(18)的双环 P 控制及高度增量累加，两轴修正量经(19)共同分配至四腿；关节伺服内环合并表示。</w:t>
      </w:r>
    </w:p>
    <w:bookmarkEnd w:id="4"/>
    <w:bookmarkEnd w:id="9"/>
    <w:p w14:paraId="3E18FD99">
      <w:pPr>
        <w:pStyle w:val="3"/>
        <w:numPr>
          <w:ilvl w:val="1"/>
          <w:numId w:val="0"/>
        </w:numPr>
        <w:snapToGrid w:val="0"/>
      </w:pPr>
      <w:bookmarkStart w:id="10" w:name="c.-机械臂逆运动学"/>
      <w:r>
        <w:t xml:space="preserve">C. </w:t>
      </w:r>
      <w:r>
        <w:rPr>
          <w:rFonts w:hint="eastAsia"/>
        </w:rPr>
        <w:t>机械臂模块</w:t>
      </w:r>
    </w:p>
    <w:p w14:paraId="7A110003">
      <w:pPr>
        <w:pStyle w:val="4"/>
        <w:numPr>
          <w:ilvl w:val="2"/>
          <w:numId w:val="0"/>
        </w:numPr>
        <w:snapToGrid w:val="0"/>
      </w:pPr>
      <w:r>
        <w:rPr>
          <w:rFonts w:ascii="Times New Roman" w:hAnsi="Times New Roman" w:eastAsia="宋体"/>
          <w:sz w:val="20"/>
          <w:szCs w:val="20"/>
        </w:rPr>
        <w:t>1) 结构概述</w:t>
      </w:r>
    </w:p>
    <w:p w14:paraId="7A110004">
      <w:pPr>
        <w:pStyle w:val="7"/>
        <w:numPr>
          <w:ilvl w:val="0"/>
          <w:numId w:val="0"/>
        </w:numPr>
        <w:snapToGrid w:val="0"/>
        <w:rPr>
          <w:strike/>
          <w:dstrike w:val="0"/>
          <w:sz w:val="20"/>
          <w:highlight w:val="green"/>
        </w:rPr>
      </w:pPr>
      <w:r>
        <w:rPr>
          <w:rFonts w:ascii="Times New Roman" w:hAnsi="Times New Roman" w:eastAsia="宋体"/>
          <w:sz w:val="20"/>
          <w:szCs w:val="20"/>
        </w:rPr>
        <w:t>机</w:t>
      </w:r>
      <w:r>
        <w:rPr>
          <w:rFonts w:hint="eastAsia"/>
          <w:sz w:val="20"/>
          <w:szCs w:val="20"/>
        </w:rPr>
        <w:t>械臂由六个转动关节和末端连杆式夹爪组成，分别</w:t>
      </w:r>
      <w:r>
        <w:rPr>
          <w:rFonts w:hint="eastAsia"/>
          <w:sz w:val="20"/>
          <w:szCs w:val="20"/>
          <w:lang w:eastAsia="zh-CN"/>
        </w:rPr>
        <w:t>执行</w:t>
      </w:r>
      <w:r>
        <w:rPr>
          <w:rFonts w:hint="eastAsia"/>
          <w:sz w:val="20"/>
          <w:szCs w:val="20"/>
        </w:rPr>
        <w:t>空间位姿调整与抓取动作</w:t>
      </w:r>
      <w:r>
        <w:rPr>
          <w:rFonts w:hint="eastAsia"/>
          <w:sz w:val="20"/>
          <w:szCs w:val="20"/>
          <w:lang w:eastAsia="zh-CN"/>
        </w:rPr>
        <w:t>的任务</w:t>
      </w:r>
      <w:r>
        <w:rPr>
          <w:rFonts w:hint="eastAsia"/>
          <w:sz w:val="20"/>
          <w:szCs w:val="20"/>
        </w:rPr>
        <w:t>。</w:t>
      </w:r>
    </w:p>
    <w:p w14:paraId="7A110005">
      <w:pPr>
        <w:pStyle w:val="4"/>
        <w:numPr>
          <w:ilvl w:val="2"/>
          <w:numId w:val="0"/>
        </w:numPr>
        <w:snapToGrid w:val="0"/>
      </w:pPr>
      <w:r>
        <w:rPr>
          <w:rFonts w:ascii="Times New Roman" w:hAnsi="Times New Roman" w:eastAsia="宋体"/>
          <w:sz w:val="20"/>
          <w:szCs w:val="20"/>
        </w:rPr>
        <w:t>2) 逆运动学</w:t>
      </w:r>
    </w:p>
    <w:p w14:paraId="46EF2C59">
      <w:pPr>
        <w:pStyle w:val="7"/>
        <w:numPr>
          <w:ilvl w:val="0"/>
          <w:numId w:val="0"/>
        </w:numPr>
        <w:snapToGrid w:val="0"/>
        <w:rPr>
          <w:sz w:val="20"/>
        </w:rPr>
      </w:pPr>
      <w:r>
        <w:rPr>
          <w:rFonts w:ascii="Times New Roman" w:hAnsi="Times New Roman" w:eastAsia="宋体"/>
          <w:sz w:val="20"/>
          <w:szCs w:val="20"/>
        </w:rPr>
        <w:t>本文采用 Pieper [11] 针对末三轴相交的六轴机械臂提出的解析逆解方法。针对 Fig. 7 所示的肘式臂—球腕构型，按本文的 DH 坐标系与关节零位约定，直接给出所选分支的最终关节角公式。</w:t>
      </w:r>
    </w:p>
    <w:p w14:paraId="540695CD">
      <w:pPr>
        <w:keepNext/>
        <w:keepLines/>
        <w:numPr>
          <w:ilvl w:val="0"/>
          <w:numId w:val="0"/>
        </w:numPr>
        <w:snapToGrid w:val="0"/>
        <w:spacing w:before="60" w:after="60" w:line="240" w:lineRule="auto"/>
        <w:ind w:left="0" w:right="0" w:firstLine="0"/>
        <w:jc w:val="center"/>
      </w:pPr>
      <w:r>
        <w:drawing>
          <wp:inline distT="0" distB="0" distL="0" distR="0">
            <wp:extent cx="3059430" cy="1019810"/>
            <wp:effectExtent l="0" t="0" r="7620" b="8890"/>
            <wp:docPr id="28" name="Fig. 7" descr="机械臂侧视图上的关节坐标系定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 7" descr="机械臂侧视图上的关节坐标系定义"/>
                    <pic:cNvPicPr>
                      <a:picLocks noChangeAspect="1"/>
                    </pic:cNvPicPr>
                  </pic:nvPicPr>
                  <pic:blipFill>
                    <a:blip r:embed="rId13"/>
                    <a:stretch>
                      <a:fillRect/>
                    </a:stretch>
                  </pic:blipFill>
                  <pic:spPr>
                    <a:xfrm>
                      <a:off x="0" y="0"/>
                      <a:ext cx="3060000" cy="1020000"/>
                    </a:xfrm>
                    <a:prstGeom prst="rect">
                      <a:avLst/>
                    </a:prstGeom>
                  </pic:spPr>
                </pic:pic>
              </a:graphicData>
            </a:graphic>
          </wp:inline>
        </w:drawing>
      </w:r>
    </w:p>
    <w:p w14:paraId="6F108002">
      <w:pPr>
        <w:keepNext/>
        <w:keepLines/>
        <w:numPr>
          <w:ilvl w:val="0"/>
          <w:numId w:val="0"/>
        </w:numPr>
        <w:snapToGrid w:val="0"/>
        <w:spacing w:before="0" w:after="60"/>
        <w:ind w:left="0" w:right="0" w:firstLine="0"/>
        <w:jc w:val="center"/>
      </w:pPr>
      <w:r>
        <w:rPr>
          <w:rFonts w:ascii="Times New Roman" w:hAnsi="Times New Roman"/>
          <w:sz w:val="18"/>
          <w:szCs w:val="18"/>
        </w:rPr>
        <w:t>(a) Physical view</w:t>
      </w:r>
    </w:p>
    <w:p w14:paraId="6F108003">
      <w:pPr>
        <w:keepNext/>
        <w:keepLines/>
        <w:numPr>
          <w:ilvl w:val="0"/>
          <w:numId w:val="0"/>
        </w:numPr>
        <w:snapToGrid w:val="0"/>
        <w:spacing w:before="60" w:after="60" w:line="240" w:lineRule="auto"/>
        <w:ind w:left="0" w:right="0" w:firstLine="0"/>
        <w:jc w:val="center"/>
      </w:pPr>
      <w:r>
        <w:drawing>
          <wp:inline distT="0" distB="0" distL="0" distR="0">
            <wp:extent cx="3059430" cy="1520190"/>
            <wp:effectExtent l="0" t="0" r="7620" b="8890"/>
            <wp:docPr id="34" name="Fig. 7(b)" descr="Arm joint coordinate frames and link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 7(b)" descr="Arm joint coordinate frames and link dimensions"/>
                    <pic:cNvPicPr>
                      <a:picLocks noChangeAspect="1"/>
                    </pic:cNvPicPr>
                  </pic:nvPicPr>
                  <pic:blipFill>
                    <a:blip r:embed="rId14"/>
                    <a:stretch>
                      <a:fillRect/>
                    </a:stretch>
                  </pic:blipFill>
                  <pic:spPr>
                    <a:xfrm>
                      <a:off x="0" y="0"/>
                      <a:ext cx="3059430" cy="1520256"/>
                    </a:xfrm>
                    <a:prstGeom prst="rect">
                      <a:avLst/>
                    </a:prstGeom>
                  </pic:spPr>
                </pic:pic>
              </a:graphicData>
            </a:graphic>
          </wp:inline>
        </w:drawing>
      </w:r>
    </w:p>
    <w:p w14:paraId="6F108004">
      <w:pPr>
        <w:keepNext/>
        <w:keepLines/>
        <w:numPr>
          <w:ilvl w:val="0"/>
          <w:numId w:val="0"/>
        </w:numPr>
        <w:snapToGrid w:val="0"/>
        <w:spacing w:before="0" w:after="60"/>
        <w:ind w:left="0" w:right="0" w:firstLine="0"/>
        <w:jc w:val="center"/>
      </w:pPr>
      <w:r>
        <w:rPr>
          <w:rFonts w:ascii="Times New Roman" w:hAnsi="Times New Roman"/>
          <w:sz w:val="18"/>
          <w:szCs w:val="18"/>
        </w:rPr>
        <w:t>(b) Joint coordinate frames</w:t>
      </w:r>
    </w:p>
    <w:p w14:paraId="1428A8F6">
      <w:pPr>
        <w:pStyle w:val="18"/>
        <w:numPr>
          <w:ilvl w:val="0"/>
          <w:numId w:val="0"/>
        </w:numPr>
        <w:snapToGrid w:val="0"/>
      </w:pPr>
      <w:r>
        <w:rPr>
          <w:iCs/>
        </w:rPr>
        <w:t>Fig. 7. 六轴机械臂关节坐标系。（a）侧视图上的坐标系对应位置。（b）关节坐标系与连杆尺寸定义。坐标系 2、3 的原点重合，坐标系 4、5 的原点重合。</w:t>
      </w:r>
    </w:p>
    <w:p w14:paraId="6F10C801">
      <w:pPr>
        <w:pStyle w:val="7"/>
        <w:numPr>
          <w:ilvl w:val="0"/>
          <w:numId w:val="0"/>
        </w:numPr>
        <w:snapToGrid w:val="0"/>
        <w:rPr>
          <w:sz w:val="20"/>
        </w:rPr>
      </w:pPr>
      <w:r>
        <w:rPr>
          <w:rFonts w:ascii="Times New Roman" w:hAnsi="Times New Roman" w:eastAsia="宋体"/>
          <w:sz w:val="20"/>
          <w:szCs w:val="20"/>
        </w:rPr>
        <w:t xml:space="preserve">给定 {0} 下的末端目标位置 </w:t>
      </w:r>
      <m:oMath>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06</m:t>
            </m:r>
          </m:sub>
        </m:sSub>
      </m:oMath>
      <w:r>
        <w:rPr>
          <w:rFonts w:ascii="Times New Roman" w:hAnsi="Times New Roman" w:eastAsia="宋体"/>
          <w:sz w:val="20"/>
          <w:szCs w:val="20"/>
        </w:rPr>
        <w:t xml:space="preserve"> 和姿态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oMath>
      <w:r>
        <w:rPr>
          <w:rFonts w:ascii="Times New Roman" w:hAnsi="Times New Roman" w:eastAsia="宋体"/>
          <w:sz w:val="20"/>
          <w:szCs w:val="20"/>
        </w:rPr>
        <w:t xml:space="preserve">，腕心定义为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m:sty m:val="bi"/>
              </m:rPr>
              <w:rPr>
                <w:rFonts w:ascii="Cambria Math" w:hAnsi="Cambria Math" w:eastAsia="Cambria Math" w:cs="Cambria Math"/>
                <w:sz w:val="20"/>
                <w:szCs w:val="20"/>
              </w:rPr>
              <m:t>p</m:t>
            </m:r>
          </m:e>
          <m:sub>
            <m:r>
              <m:rPr/>
              <w:rPr>
                <w:rFonts w:ascii="Cambria Math" w:hAnsi="Cambria Math" w:eastAsia="Cambria Math" w:cs="Cambria Math"/>
                <w:sz w:val="20"/>
                <w:szCs w:val="20"/>
              </w:rPr>
              <m:t>06</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6</m:t>
            </m:r>
          </m:sub>
        </m:sSub>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y</m:t>
            </m:r>
          </m:sub>
        </m:sSub>
      </m:oMath>
      <w:r>
        <w:rPr>
          <w:rFonts w:ascii="Times New Roman" w:hAnsi="Times New Roman" w:eastAsia="宋体"/>
          <w:sz w:val="20"/>
          <w:szCs w:val="20"/>
        </w:rPr>
        <w:t xml:space="preserve">，其中 </w:t>
      </w:r>
      <m:oMath>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6</m:t>
            </m:r>
          </m:sub>
        </m:sSub>
      </m:oMath>
      <w:r>
        <w:rPr>
          <w:rFonts w:ascii="Times New Roman" w:hAnsi="Times New Roman" w:eastAsia="宋体"/>
          <w:sz w:val="20"/>
          <w:szCs w:val="20"/>
        </w:rPr>
        <w:t xml:space="preserve"> 为腕心至末端沿工具正 </w:t>
      </w:r>
      <m:oMath>
        <m:r>
          <m:rPr/>
          <w:rPr>
            <w:rFonts w:ascii="Cambria Math" w:hAnsi="Cambria Math" w:eastAsia="Cambria Math" w:cs="Cambria Math"/>
            <w:sz w:val="20"/>
            <w:szCs w:val="20"/>
          </w:rPr>
          <m:t>y</m:t>
        </m:r>
      </m:oMath>
      <w:r>
        <w:rPr>
          <w:rFonts w:ascii="Times New Roman" w:hAnsi="Times New Roman" w:eastAsia="宋体"/>
          <w:sz w:val="20"/>
          <w:szCs w:val="20"/>
        </w:rPr>
        <w:t xml:space="preserve"> 轴的偏置距离。关节角记为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w:rPr>
                <w:rFonts w:ascii="Cambria Math" w:hAnsi="Cambria Math" w:eastAsia="Cambria Math" w:cs="Cambria Math"/>
                <w:sz w:val="20"/>
                <w:szCs w:val="20"/>
              </w:rPr>
              <m:t>j</m:t>
            </m:r>
          </m:sub>
        </m:sSub>
      </m:oMath>
      <w:r>
        <w:rPr>
          <w:rFonts w:ascii="Times New Roman" w:hAnsi="Times New Roman" w:eastAsia="宋体"/>
          <w:sz w:val="20"/>
          <w:szCs w:val="20"/>
        </w:rPr>
        <w:t>（</w:t>
      </w:r>
      <m:oMath>
        <m:r>
          <m:rPr/>
          <w:rPr>
            <w:rFonts w:ascii="Cambria Math" w:hAnsi="Cambria Math" w:eastAsia="Cambria Math" w:cs="Cambria Math"/>
            <w:sz w:val="20"/>
            <w:szCs w:val="20"/>
          </w:rPr>
          <m:t>j</m:t>
        </m:r>
        <m:r>
          <m:rPr>
            <m:sty m:val="p"/>
          </m:rPr>
          <w:rPr>
            <w:rFonts w:ascii="Cambria Math" w:hAnsi="Cambria Math" w:eastAsia="Cambria Math" w:cs="Cambria Math"/>
            <w:sz w:val="20"/>
            <w:szCs w:val="20"/>
          </w:rPr>
          <m:t>=1,…,6</m:t>
        </m:r>
      </m:oMath>
      <w:r>
        <w:rPr>
          <w:rFonts w:ascii="Times New Roman" w:hAnsi="Times New Roman" w:eastAsia="宋体"/>
          <w:sz w:val="20"/>
          <w:szCs w:val="20"/>
        </w:rPr>
        <w:t>），末端位置和姿态均相对于基坐标系 {0} 表示。</w:t>
      </w:r>
      <m:oMath>
        <m:sSub>
          <m:sSubPr/>
          <m:e>
            <m:r>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ascii="Times New Roman" w:hAnsi="Times New Roman" w:eastAsia="宋体"/>
          <w:sz w:val="20"/>
          <w:szCs w:val="20"/>
        </w:rPr>
        <w:t xml:space="preserve"> 为沿第三坐标系 z 轴从其原点至腕心的距离。</w:t>
      </w:r>
    </w:p>
    <w:p w14:paraId="2743674C">
      <w:pPr>
        <w:pStyle w:val="7"/>
        <w:numPr>
          <w:ilvl w:val="0"/>
          <w:numId w:val="0"/>
        </w:numPr>
        <w:snapToGrid w:val="0"/>
        <w:rPr>
          <w:sz w:val="20"/>
        </w:rPr>
      </w:pPr>
      <w:r>
        <w:rPr>
          <w:rFonts w:ascii="Times New Roman" w:hAnsi="Times New Roman" w:eastAsia="宋体"/>
          <w:sz w:val="20"/>
          <w:szCs w:val="20"/>
        </w:rPr>
        <w:t xml:space="preserve">设腕心坐标为 </w:t>
      </w:r>
      <m:oMath>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oMath>
      <w:r>
        <w:rPr>
          <w:rFonts w:ascii="Times New Roman" w:hAnsi="Times New Roman" w:eastAsia="宋体"/>
          <w:sz w:val="20"/>
          <w:szCs w:val="20"/>
        </w:rPr>
        <w:t>，</w:t>
      </w:r>
      <m:oMath>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oMath>
      <w:r>
        <w:rPr>
          <w:rFonts w:ascii="Times New Roman" w:hAnsi="Times New Roman" w:eastAsia="宋体"/>
          <w:sz w:val="20"/>
          <w:szCs w:val="20"/>
        </w:rPr>
        <w:t xml:space="preserve"> 为肩部径向与高度偏置，</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2</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2</m:t>
            </m:r>
          </m:sub>
        </m:sSub>
      </m:oMath>
      <w:r>
        <w:rPr>
          <w:rFonts w:ascii="Times New Roman" w:hAnsi="Times New Roman" w:eastAsia="宋体"/>
          <w:sz w:val="20"/>
          <w:szCs w:val="20"/>
        </w:rPr>
        <w:t>、</w:t>
      </w:r>
      <m:oMath>
        <m:sSub>
          <m:sSubPr/>
          <m:e>
            <m:r>
              <m:rPr/>
              <w:rPr>
                <w:rFonts w:ascii="Cambria Math" w:hAnsi="Cambria Math" w:eastAsia="Cambria Math" w:cs="Cambria Math"/>
                <w:sz w:val="20"/>
                <w:szCs w:val="20"/>
              </w:rPr>
              <m:t>ℓ</m:t>
            </m:r>
          </m:e>
          <m:sub>
            <m:r>
              <m:rPr/>
              <w:rPr>
                <w:rFonts w:ascii="Cambria Math" w:hAnsi="Cambria Math" w:eastAsia="Cambria Math" w:cs="Cambria Math"/>
                <w:sz w:val="20"/>
                <w:szCs w:val="20"/>
              </w:rPr>
              <m:t>3</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4</m:t>
            </m:r>
          </m:sub>
        </m:sSub>
      </m:oMath>
      <w:r>
        <w:rPr>
          <w:rFonts w:ascii="Times New Roman" w:hAnsi="Times New Roman" w:eastAsia="宋体"/>
          <w:sz w:val="20"/>
          <w:szCs w:val="20"/>
        </w:rPr>
        <w:t xml:space="preserve"> 为等效臂长。定义 </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rad>
          <m:radPr>
            <m:degHide m:val="1"/>
          </m:radPr>
          <m:deg/>
          <m:e>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Sup>
              <m:sSubSup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W</m:t>
                </m:r>
              </m:sub>
              <m:sup>
                <m:r>
                  <m:rPr/>
                  <w:rPr>
                    <w:rFonts w:ascii="Cambria Math" w:hAnsi="Cambria Math" w:eastAsia="Cambria Math" w:cs="Cambria Math"/>
                    <w:sz w:val="20"/>
                    <w:szCs w:val="20"/>
                  </w:rPr>
                  <m:t>2</m:t>
                </m:r>
              </m:sup>
            </m:sSubSup>
          </m:e>
        </m:rad>
      </m:oMath>
      <w:r>
        <w:rPr>
          <w:rFonts w:ascii="Times New Roman" w:hAnsi="Times New Roman" w:eastAsia="宋体"/>
          <w:sz w:val="20"/>
          <w:szCs w:val="20"/>
        </w:rPr>
        <w:t>，</w:t>
      </w:r>
      <m:oMath>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m:t>
        </m:r>
        <m:rad>
          <m:radPr>
            <m:degHide m:val="1"/>
          </m:radPr>
          <m:deg/>
          <m:e>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sSup>
              <m:sSupPr/>
              <m:e>
                <m:r>
                  <m:rPr>
                    <m:sty m:val="p"/>
                  </m:rPr>
                  <w:rPr>
                    <w:rFonts w:ascii="Cambria Math" w:hAnsi="Cambria Math" w:eastAsia="Cambria Math" w:cs="Cambria Math"/>
                    <w:sz w:val="20"/>
                    <w:szCs w:val="20"/>
                  </w:rPr>
                  <m:t>)</m:t>
                </m:r>
              </m:e>
              <m:sup>
                <m:r>
                  <m:rPr/>
                  <w:rPr>
                    <w:rFonts w:ascii="Cambria Math" w:hAnsi="Cambria Math" w:eastAsia="Cambria Math" w:cs="Cambria Math"/>
                    <w:sz w:val="20"/>
                    <w:szCs w:val="20"/>
                  </w:rPr>
                  <m:t>2</m:t>
                </m:r>
              </m:sup>
            </m:sSup>
          </m:e>
        </m:rad>
      </m:oMath>
      <w:r>
        <w:rPr>
          <w:rFonts w:ascii="Times New Roman" w:hAnsi="Times New Roman" w:eastAsia="宋体"/>
          <w:sz w:val="20"/>
          <w:szCs w:val="20"/>
        </w:rPr>
        <w:t>，</w:t>
      </w:r>
      <m:oMath>
        <m:sSub>
          <m:sSubPr/>
          <m:e>
            <m:r>
              <m:rPr/>
              <w:rPr>
                <w:rFonts w:ascii="Cambria Math" w:hAnsi="Cambria Math" w:eastAsia="Cambria Math" w:cs="Cambria Math"/>
                <w:sz w:val="20"/>
                <w:szCs w:val="20"/>
              </w:rPr>
              <m:t>γ</m:t>
            </m:r>
          </m:e>
          <m:sub>
            <m:r>
              <m:rPr>
                <m:sty m:val="p"/>
              </m:rPr>
              <w:rPr>
                <w:rFonts w:ascii="Cambria Math" w:hAnsi="Cambria Math" w:eastAsia="Cambria Math" w:cs="Cambria Math"/>
                <w:sz w:val="20"/>
                <w:szCs w:val="20"/>
              </w:rPr>
              <m:t>A</m:t>
            </m:r>
          </m:sub>
        </m:sSub>
        <m:r>
          <m:rPr>
            <m:sty m:val="p"/>
          </m:rPr>
          <w:rPr>
            <w:rFonts w:ascii="Cambria Math" w:hAnsi="Cambria Math" w:eastAsia="Cambria Math" w:cs="Cambria Math"/>
            <w:sz w:val="20"/>
            <w:szCs w:val="20"/>
          </w:rPr>
          <m:t>=atan2(</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d</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ρ</m:t>
            </m:r>
          </m:e>
          <m:sub>
            <m:r>
              <m:rPr>
                <m:sty m:val="p"/>
              </m:rPr>
              <w:rPr>
                <w:rFonts w:ascii="Cambria Math" w:hAnsi="Cambria Math" w:eastAsia="Cambria Math" w:cs="Cambria Math"/>
                <w:sz w:val="20"/>
                <w:szCs w:val="20"/>
              </w:rPr>
              <m:t>W</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1</m:t>
            </m:r>
          </m:sub>
        </m:sSub>
        <m:r>
          <m:rPr>
            <m:sty m:val="p"/>
          </m:rPr>
          <w:rPr>
            <w:rFonts w:ascii="Cambria Math" w:hAnsi="Cambria Math" w:eastAsia="Cambria Math" w:cs="Cambria Math"/>
            <w:sz w:val="20"/>
            <w:szCs w:val="20"/>
          </w:rPr>
          <m:t>)</m:t>
        </m:r>
      </m:oMath>
      <w:r>
        <w:rPr>
          <w:rFonts w:ascii="Times New Roman" w:hAnsi="Times New Roman" w:eastAsia="宋体"/>
          <w:sz w:val="20"/>
          <w:szCs w:val="20"/>
        </w:rPr>
        <w:t>。正对高臂分支的前三轴关节角为</w:t>
      </w:r>
    </w:p>
    <w:tbl>
      <w:tblPr>
        <w:tblStyle w:val="10"/>
        <w:tblW w:w="4866" w:type="dxa"/>
        <w:tblCaption w:val="Equation 2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64B092">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D72B46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1</m:t>
                        </m:r>
                      </m:sub>
                    </m:sSub>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W</m:t>
                        </m:r>
                      </m:sub>
                    </m:sSub>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2</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γ</m:t>
                        </m:r>
                      </m:e>
                      <m:sub>
                        <m:r>
                          <m:rPr>
                            <m:sty m:val="p"/>
                          </m:rPr>
                          <w:rPr>
                            <w:rFonts w:ascii="Cambria Math" w:hAnsi="Cambria Math" w:eastAsia="Cambria Math" w:cs="Cambria Math"/>
                            <w:sz w:val="18"/>
                            <w:szCs w:val="18"/>
                          </w:rPr>
                          <m:t>A</m:t>
                        </m:r>
                      </m:sub>
                    </m:sSub>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Sub>
                      </m:den>
                    </m:f>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m:t>
                        </m:r>
                        <m:r>
                          <m:rPr/>
                          <w:rPr>
                            <w:rFonts w:ascii="Cambria Math" w:hAnsi="Cambria Math" w:eastAsia="Cambria Math" w:cs="Cambria Math"/>
                            <w:sz w:val="18"/>
                            <w:szCs w:val="18"/>
                          </w:rPr>
                          <m:t>3</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π</m:t>
                    </m:r>
                    <m:r>
                      <m:rPr>
                        <m:sty m:val="p"/>
                      </m:rPr>
                      <w:rPr>
                        <w:rFonts w:ascii="Cambria Math" w:hAnsi="Cambria Math" w:eastAsia="Cambria Math" w:cs="Cambria Math"/>
                        <w:sz w:val="18"/>
                        <w:szCs w:val="18"/>
                      </w:rPr>
                      <m:t>+arccos</m:t>
                    </m:r>
                    <m:f>
                      <m:fPr/>
                      <m:num>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ρ</m:t>
                            </m:r>
                          </m:e>
                          <m:sub>
                            <m:r>
                              <m:rPr>
                                <m:sty m:val="p"/>
                              </m:rPr>
                              <w:rPr>
                                <w:rFonts w:ascii="Cambria Math" w:hAnsi="Cambria Math" w:eastAsia="Cambria Math" w:cs="Cambria Math"/>
                                <w:sz w:val="18"/>
                                <w:szCs w:val="18"/>
                              </w:rPr>
                              <m:t>A</m:t>
                            </m:r>
                          </m:sub>
                          <m:sup>
                            <m:r>
                              <m:rPr/>
                              <w:rPr>
                                <w:rFonts w:ascii="Cambria Math" w:hAnsi="Cambria Math" w:eastAsia="Cambria Math" w:cs="Cambria Math"/>
                                <w:sz w:val="18"/>
                                <w:szCs w:val="18"/>
                              </w:rPr>
                              <m:t>2</m:t>
                            </m:r>
                          </m:sup>
                        </m:sSubSup>
                      </m:num>
                      <m:den>
                        <m:r>
                          <m:rPr/>
                          <w:rPr>
                            <w:rFonts w:ascii="Cambria Math" w:hAnsi="Cambria Math" w:eastAsia="Cambria Math" w:cs="Cambria Math"/>
                            <w:sz w:val="18"/>
                            <w:szCs w:val="18"/>
                          </w:rPr>
                          <m:t>2</m:t>
                        </m:r>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2</m:t>
                            </m:r>
                          </m:sub>
                        </m:sSub>
                        <m:sSub>
                          <m:sSubPr/>
                          <m:e>
                            <m:r>
                              <m:rPr/>
                              <w:rPr>
                                <w:rFonts w:ascii="Cambria Math" w:hAnsi="Cambria Math" w:eastAsia="Cambria Math" w:cs="Cambria Math"/>
                                <w:sz w:val="18"/>
                                <w:szCs w:val="18"/>
                              </w:rPr>
                              <m:t>ℓ</m:t>
                            </m:r>
                          </m:e>
                          <m:sub>
                            <m:r>
                              <m:rPr/>
                              <w:rPr>
                                <w:rFonts w:ascii="Cambria Math" w:hAnsi="Cambria Math" w:eastAsia="Cambria Math" w:cs="Cambria Math"/>
                                <w:sz w:val="18"/>
                                <w:szCs w:val="18"/>
                              </w:rPr>
                              <m:t>3</m:t>
                            </m:r>
                          </m:sub>
                        </m:sSub>
                      </m:den>
                    </m:f>
                    <m:r>
                      <m:rPr>
                        <m:sty m:val="p"/>
                      </m:rPr>
                      <w:rPr>
                        <w:rFonts w:ascii="Cambria Math" w:hAnsi="Cambria Math" w:eastAsia="Cambria Math" w:cs="Cambria Math"/>
                        <w:sz w:val="18"/>
                        <w:szCs w:val="18"/>
                      </w:rPr>
                      <m:t>.</m:t>
                    </m:r>
                  </m:e>
                </m:eqArr>
              </m:oMath>
            </m:oMathPara>
          </w:p>
        </w:tc>
        <w:tc>
          <w:tcPr>
            <w:tcW w:w="390" w:type="dxa"/>
            <w:vAlign w:val="center"/>
          </w:tcPr>
          <w:p w14:paraId="690D25D1">
            <w:pPr>
              <w:numPr>
                <w:ilvl w:val="0"/>
                <w:numId w:val="0"/>
              </w:numPr>
              <w:snapToGrid w:val="0"/>
              <w:jc w:val="right"/>
              <w:rPr>
                <w:sz w:val="16"/>
              </w:rPr>
            </w:pPr>
            <w:r>
              <w:rPr>
                <w:sz w:val="16"/>
                <w:szCs w:val="16"/>
              </w:rPr>
              <w:t>(20)</w:t>
            </w:r>
          </w:p>
        </w:tc>
      </w:tr>
    </w:tbl>
    <w:p w14:paraId="3EBA8D22">
      <w:pPr>
        <w:pStyle w:val="7"/>
        <w:numPr>
          <w:ilvl w:val="0"/>
          <w:numId w:val="0"/>
        </w:numPr>
        <w:snapToGrid w:val="0"/>
        <w:rPr>
          <w:sz w:val="20"/>
        </w:rPr>
      </w:pPr>
      <w:r>
        <w:rPr>
          <w:rFonts w:ascii="Times New Roman" w:hAnsi="Times New Roman" w:eastAsia="宋体"/>
          <w:sz w:val="20"/>
          <w:szCs w:val="20"/>
        </w:rPr>
        <w:t xml:space="preserve">令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Sub>
      </m:oMath>
      <w:r>
        <w:rPr>
          <w:rFonts w:ascii="Times New Roman" w:hAnsi="Times New Roman" w:eastAsia="宋体"/>
          <w:sz w:val="20"/>
          <w:szCs w:val="20"/>
        </w:rPr>
        <w:t xml:space="preserve"> 为前三轴关节角对应的坐标系 {3} 到 {0} 的旋转矩阵，定义腕部姿态 </w:t>
      </w:r>
      <m:oMath>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36</m:t>
            </m:r>
          </m:sub>
        </m:sSub>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03</m:t>
            </m:r>
          </m:sub>
          <m:sup>
            <m:r>
              <m:rPr>
                <m:sty m:val="p"/>
              </m:rPr>
              <w:rPr>
                <w:rFonts w:ascii="Cambria Math" w:hAnsi="Cambria Math" w:eastAsia="Cambria Math" w:cs="Cambria Math"/>
                <w:sz w:val="20"/>
                <w:szCs w:val="20"/>
              </w:rPr>
              <m:t>T</m:t>
            </m:r>
          </m:sup>
        </m:sSubSup>
        <m:sSub>
          <m:sSubPr/>
          <m:e>
            <m:r>
              <m:rPr>
                <m:sty m:val="b"/>
              </m:rPr>
              <w:rPr>
                <w:rFonts w:ascii="Cambria Math" w:hAnsi="Cambria Math" w:eastAsia="Cambria Math" w:cs="Cambria Math"/>
                <w:sz w:val="20"/>
                <w:szCs w:val="20"/>
              </w:rPr>
              <m:t>R</m:t>
            </m:r>
          </m:e>
          <m:sub>
            <m:r>
              <m:rPr/>
              <w:rPr>
                <w:rFonts w:ascii="Cambria Math" w:hAnsi="Cambria Math" w:eastAsia="Cambria Math" w:cs="Cambria Math"/>
                <w:sz w:val="20"/>
                <w:szCs w:val="20"/>
              </w:rPr>
              <m:t>06</m:t>
            </m:r>
          </m:sub>
        </m:sSub>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n</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o</m:t>
        </m:r>
        <m:r>
          <m:rPr>
            <m:sty m:val="p"/>
          </m:rPr>
          <w:rPr>
            <w:rFonts w:ascii="Cambria Math" w:hAnsi="Cambria Math" w:eastAsia="Cambria Math" w:cs="Cambria Math"/>
            <w:sz w:val="20"/>
            <w:szCs w:val="20"/>
          </w:rPr>
          <m:t>,</m:t>
        </m:r>
        <m:r>
          <m:rPr>
            <m:sty m:val="bi"/>
          </m:rPr>
          <w:rPr>
            <w:rFonts w:ascii="Cambria Math" w:hAnsi="Cambria Math" w:eastAsia="Cambria Math" w:cs="Cambria Math"/>
            <w:sz w:val="20"/>
            <w:szCs w:val="20"/>
          </w:rPr>
          <m:t>a</m:t>
        </m:r>
        <m:r>
          <m:rPr>
            <m:sty m:val="p"/>
          </m:rPr>
          <w:rPr>
            <w:rFonts w:ascii="Cambria Math" w:hAnsi="Cambria Math" w:eastAsia="Cambria Math" w:cs="Cambria Math"/>
            <w:sz w:val="20"/>
            <w:szCs w:val="20"/>
          </w:rPr>
          <m:t>]</m:t>
        </m:r>
      </m:oMath>
      <w:r>
        <w:rPr>
          <w:rFonts w:ascii="Times New Roman" w:hAnsi="Times New Roman" w:eastAsia="宋体"/>
          <w:sz w:val="20"/>
          <w:szCs w:val="20"/>
        </w:rPr>
        <w:t>。</w:t>
      </w:r>
    </w:p>
    <w:p w14:paraId="2DF1DB83">
      <w:pPr>
        <w:pStyle w:val="7"/>
        <w:numPr>
          <w:ilvl w:val="0"/>
          <w:numId w:val="0"/>
        </w:numPr>
        <w:snapToGrid w:val="0"/>
        <w:rPr>
          <w:sz w:val="20"/>
        </w:rPr>
      </w:pPr>
      <m:oMath>
        <m:sSub>
          <m:sSubPr/>
          <m:e>
            <m:r>
              <m:rPr/>
              <w:rPr>
                <w:rFonts w:ascii="Cambria Math" w:hAnsi="Cambria Math" w:eastAsia="Cambria Math" w:cs="Cambria Math"/>
                <w:sz w:val="20"/>
                <w:szCs w:val="20"/>
              </w:rPr>
              <m:t>n</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o</m:t>
            </m:r>
          </m:e>
          <m:sub>
            <m:r>
              <m:rPr/>
              <w:rPr>
                <w:rFonts w:ascii="Cambria Math" w:hAnsi="Cambria Math" w:eastAsia="Cambria Math" w:cs="Cambria Math"/>
                <w:sz w:val="20"/>
                <w:szCs w:val="20"/>
              </w:rPr>
              <m:t>z</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a</m:t>
            </m:r>
          </m:e>
          <m:sub>
            <m:r>
              <m:rPr/>
              <w:rPr>
                <w:rFonts w:ascii="Cambria Math" w:hAnsi="Cambria Math" w:eastAsia="Cambria Math" w:cs="Cambria Math"/>
                <w:sz w:val="20"/>
                <w:szCs w:val="20"/>
              </w:rPr>
              <m:t>z</m:t>
            </m:r>
          </m:sub>
        </m:sSub>
      </m:oMath>
      <w:r>
        <w:rPr>
          <w:rFonts w:ascii="Times New Roman" w:hAnsi="Times New Roman" w:eastAsia="宋体"/>
          <w:sz w:val="20"/>
          <w:szCs w:val="20"/>
        </w:rPr>
        <w:t xml:space="preserve"> 为上述列矢量的相应分量。在 </w:t>
      </w:r>
      <m:oMath>
        <m:r>
          <m:rPr>
            <m:sty m:val="p"/>
          </m:rPr>
          <w:rPr>
            <w:rFonts w:ascii="Cambria Math" w:hAnsi="Cambria Math" w:eastAsia="Cambria Math" w:cs="Cambria Math"/>
            <w:sz w:val="20"/>
            <w:szCs w:val="20"/>
          </w:rPr>
          <m:t>sin</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5</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rFonts w:ascii="Times New Roman" w:hAnsi="Times New Roman" w:eastAsia="宋体"/>
          <w:sz w:val="20"/>
          <w:szCs w:val="20"/>
        </w:rPr>
        <w:t xml:space="preserve"> 时，腕部的两个解析分支为</w:t>
      </w:r>
    </w:p>
    <w:tbl>
      <w:tblPr>
        <w:tblStyle w:val="10"/>
        <w:tblW w:w="4866" w:type="dxa"/>
        <w:tblCaption w:val="Equation 2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6980A0C">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822B47F">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=±arccos(−</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4</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y</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o</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6</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=atan2(</m:t>
                    </m:r>
                    <m:sSub>
                      <m:sSubPr/>
                      <m:e>
                        <m:r>
                          <m:rPr/>
                          <w:rPr>
                            <w:rFonts w:ascii="Cambria Math" w:hAnsi="Cambria Math" w:eastAsia="Cambria Math" w:cs="Cambria Math"/>
                            <w:sz w:val="18"/>
                            <w:szCs w:val="18"/>
                          </w:rPr>
                          <m:t>a</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n</m:t>
                        </m:r>
                      </m:e>
                      <m:sub>
                        <m:r>
                          <m:rPr/>
                          <w:rPr>
                            <w:rFonts w:ascii="Cambria Math" w:hAnsi="Cambria Math" w:eastAsia="Cambria Math" w:cs="Cambria Math"/>
                            <w:sz w:val="18"/>
                            <w:szCs w:val="18"/>
                          </w:rPr>
                          <m:t>z</m:t>
                        </m:r>
                      </m:sub>
                    </m:sSub>
                    <m:r>
                      <m:rPr>
                        <m:sty m:val="p"/>
                      </m:rPr>
                      <w:rPr>
                        <w:rFonts w:ascii="Cambria Math" w:hAnsi="Cambria Math" w:eastAsia="Cambria Math" w:cs="Cambria Math"/>
                        <w:sz w:val="18"/>
                        <w:szCs w:val="18"/>
                      </w:rPr>
                      <m:t>sin</m:t>
                    </m:r>
                    <m:sSubSup>
                      <m:sSubSupPr/>
                      <m:e>
                        <m:r>
                          <m:rPr/>
                          <w:rPr>
                            <w:rFonts w:ascii="Cambria Math" w:hAnsi="Cambria Math" w:eastAsia="Cambria Math" w:cs="Cambria Math"/>
                            <w:sz w:val="18"/>
                            <w:szCs w:val="18"/>
                          </w:rPr>
                          <m:t>θ</m:t>
                        </m:r>
                      </m:e>
                      <m:sub>
                        <m:r>
                          <m:rPr/>
                          <w:rPr>
                            <w:rFonts w:ascii="Cambria Math" w:hAnsi="Cambria Math" w:eastAsia="Cambria Math" w:cs="Cambria Math"/>
                            <w:sz w:val="18"/>
                            <w:szCs w:val="18"/>
                          </w:rPr>
                          <m:t>5</m:t>
                        </m:r>
                      </m:sub>
                      <m:sup>
                        <m:r>
                          <m:rPr>
                            <m:sty m:val="p"/>
                          </m:rPr>
                          <w:rPr>
                            <w:rFonts w:ascii="Cambria Math" w:hAnsi="Cambria Math" w:eastAsia="Cambria Math" w:cs="Cambria Math"/>
                            <w:sz w:val="18"/>
                            <w:szCs w:val="18"/>
                          </w:rPr>
                          <m:t>(±)</m:t>
                        </m:r>
                      </m:sup>
                    </m:sSubSup>
                    <m:r>
                      <m:rPr>
                        <m:sty m:val="p"/>
                      </m:rPr>
                      <w:rPr>
                        <w:rFonts w:ascii="Cambria Math" w:hAnsi="Cambria Math" w:eastAsia="Cambria Math" w:cs="Cambria Math"/>
                        <w:sz w:val="18"/>
                        <w:szCs w:val="18"/>
                      </w:rPr>
                      <m:t>).</m:t>
                    </m:r>
                  </m:e>
                </m:eqArr>
              </m:oMath>
            </m:oMathPara>
          </w:p>
        </w:tc>
        <w:tc>
          <w:tcPr>
            <w:tcW w:w="390" w:type="dxa"/>
            <w:vAlign w:val="center"/>
          </w:tcPr>
          <w:p w14:paraId="3071FD52">
            <w:pPr>
              <w:numPr>
                <w:ilvl w:val="0"/>
                <w:numId w:val="0"/>
              </w:numPr>
              <w:snapToGrid w:val="0"/>
              <w:jc w:val="right"/>
              <w:rPr>
                <w:sz w:val="16"/>
              </w:rPr>
            </w:pPr>
            <w:r>
              <w:rPr>
                <w:sz w:val="16"/>
                <w:szCs w:val="16"/>
              </w:rPr>
              <w:t>(21)</w:t>
            </w:r>
          </w:p>
        </w:tc>
      </w:tr>
    </w:tbl>
    <w:p w14:paraId="6BDBEFC2">
      <w:pPr>
        <w:pStyle w:val="7"/>
        <w:numPr>
          <w:ilvl w:val="0"/>
          <w:numId w:val="0"/>
        </w:numPr>
        <w:snapToGrid w:val="0"/>
        <w:rPr>
          <w:rFonts w:hint="eastAsia"/>
          <w:sz w:val="20"/>
          <w:szCs w:val="20"/>
          <w:lang w:eastAsia="zh-CN"/>
        </w:rPr>
      </w:pPr>
      <w:r>
        <w:rPr>
          <w:rFonts w:ascii="Times New Roman" w:hAnsi="Times New Roman" w:eastAsia="宋体"/>
          <w:sz w:val="20"/>
          <w:szCs w:val="20"/>
        </w:rPr>
        <w:t xml:space="preserve">腕部实际关节角为 </w:t>
      </w:r>
      <m:oMath>
        <m:sSub>
          <m:sSubPr/>
          <m:e>
            <m:r>
              <m:rPr/>
              <w:rPr>
                <w:rFonts w:ascii="Cambria Math" w:hAnsi="Cambria Math" w:eastAsia="Cambria Math" w:cs="Cambria Math"/>
                <w:sz w:val="20"/>
                <w:szCs w:val="20"/>
              </w:rPr>
              <m:t>q</m:t>
            </m:r>
          </m:e>
          <m:sub>
            <m:r>
              <m:rPr>
                <m:sty m:val="p"/>
              </m:rPr>
              <w:rPr>
                <w:rFonts w:ascii="Cambria Math" w:hAnsi="Cambria Math" w:eastAsia="Cambria Math" w:cs="Cambria Math"/>
                <w:sz w:val="20"/>
                <w:szCs w:val="20"/>
              </w:rPr>
              <m:t>a,</m:t>
            </m:r>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j</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rFonts w:ascii="Times New Roman" w:hAnsi="Times New Roman" w:eastAsia="宋体"/>
          <w:sz w:val="20"/>
          <w:szCs w:val="20"/>
        </w:rPr>
        <w:t>（</w:t>
      </w:r>
      <m:oMath>
        <m:r>
          <m:rPr/>
          <w:rPr>
            <w:rFonts w:ascii="Cambria Math" w:hAnsi="Cambria Math" w:eastAsia="Cambria Math" w:cs="Cambria Math"/>
            <w:sz w:val="20"/>
            <w:szCs w:val="20"/>
          </w:rPr>
          <m:t>j</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4</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5</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6</m:t>
        </m:r>
      </m:oMath>
      <w:r>
        <w:rPr>
          <w:rFonts w:ascii="Times New Roman" w:hAnsi="Times New Roman" w:eastAsia="宋体"/>
          <w:sz w:val="20"/>
          <w:szCs w:val="20"/>
        </w:rPr>
        <w:t xml:space="preserve">），其中 </w:t>
      </w:r>
      <m:oMath>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j</m:t>
            </m:r>
          </m:sub>
        </m:sSub>
      </m:oMath>
      <w:r>
        <w:rPr>
          <w:rFonts w:ascii="Times New Roman" w:hAnsi="Times New Roman" w:eastAsia="宋体"/>
          <w:sz w:val="20"/>
          <w:szCs w:val="20"/>
        </w:rPr>
        <w:t xml:space="preserve"> 为标准 DH 关节角，</w:t>
      </w:r>
      <m:oMath>
        <m:sSub>
          <m:sSubPr/>
          <m:e>
            <m:r>
              <m:rPr/>
              <w:rPr>
                <w:rFonts w:ascii="Cambria Math" w:hAnsi="Cambria Math" w:eastAsia="Cambria Math" w:cs="Cambria Math"/>
                <w:sz w:val="20"/>
                <w:szCs w:val="20"/>
              </w:rPr>
              <m:t>θ</m:t>
            </m:r>
          </m:e>
          <m:sub>
            <m:r>
              <m:rPr/>
              <w:rPr>
                <w:rFonts w:ascii="Cambria Math" w:hAnsi="Cambria Math" w:eastAsia="Cambria Math" w:cs="Cambria Math"/>
                <w:sz w:val="20"/>
                <w:szCs w:val="20"/>
              </w:rPr>
              <m:t>0</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j</m:t>
            </m:r>
          </m:sub>
        </m:sSub>
      </m:oMath>
      <w:r>
        <w:rPr>
          <w:rFonts w:ascii="Times New Roman" w:hAnsi="Times New Roman" w:eastAsia="宋体"/>
          <w:sz w:val="20"/>
          <w:szCs w:val="20"/>
        </w:rPr>
        <w:t xml:space="preserve"> 为零位偏置。对候选解进行位姿回代检查，选择与上一时刻关节角最接近的可行分支。</w:t>
      </w:r>
    </w:p>
    <w:bookmarkEnd w:id="10"/>
    <w:p w14:paraId="5216BD38">
      <w:pPr>
        <w:pStyle w:val="3"/>
        <w:numPr>
          <w:ilvl w:val="1"/>
          <w:numId w:val="0"/>
        </w:numPr>
        <w:snapToGrid w:val="0"/>
      </w:pPr>
      <w:bookmarkStart w:id="11" w:name="d.-delta-遥操作控制器"/>
      <w:r>
        <w:t xml:space="preserve">D. Delta </w:t>
      </w:r>
      <w:r>
        <w:rPr>
          <w:rFonts w:hint="eastAsia"/>
        </w:rPr>
        <w:t>遥操作控制器</w:t>
      </w:r>
    </w:p>
    <w:p w14:paraId="272A16D0">
      <w:pPr>
        <w:pStyle w:val="4"/>
        <w:numPr>
          <w:ilvl w:val="2"/>
          <w:numId w:val="0"/>
        </w:numPr>
        <w:snapToGrid w:val="0"/>
      </w:pPr>
      <w:bookmarkStart w:id="12" w:name="构型与正运动学"/>
      <w:r>
        <w:t xml:space="preserve">1) </w:t>
      </w:r>
      <w:r>
        <w:rPr>
          <w:rFonts w:hint="eastAsia"/>
        </w:rPr>
        <w:t>结构概述</w:t>
      </w:r>
    </w:p>
    <w:p w14:paraId="3C6B6602">
      <w:pPr>
        <w:pStyle w:val="7"/>
        <w:numPr>
          <w:ilvl w:val="0"/>
          <w:numId w:val="0"/>
        </w:numPr>
        <w:snapToGrid w:val="0"/>
        <w:rPr>
          <w:sz w:val="20"/>
        </w:rPr>
      </w:pPr>
      <w:r>
        <w:rPr>
          <w:rFonts w:hint="eastAsia"/>
          <w:sz w:val="20"/>
          <w:szCs w:val="20"/>
        </w:rPr>
        <w:t>主端采用三支链</w:t>
      </w:r>
      <w:r>
        <w:rPr>
          <w:sz w:val="20"/>
          <w:szCs w:val="20"/>
        </w:rPr>
        <w:t xml:space="preserve"> Delta </w:t>
      </w:r>
      <w:r>
        <w:rPr>
          <w:rFonts w:hint="eastAsia"/>
          <w:sz w:val="20"/>
          <w:szCs w:val="20"/>
        </w:rPr>
        <w:t>并联机构实现三维平移，并在动平台上安装三个带编码器的转动关节输入</w:t>
      </w:r>
      <w:r>
        <w:rPr>
          <w:rFonts w:hint="eastAsia"/>
          <w:sz w:val="20"/>
          <w:szCs w:val="20"/>
          <w:lang w:eastAsia="zh-CN"/>
        </w:rPr>
        <w:t>三维</w:t>
      </w:r>
      <w:r>
        <w:rPr>
          <w:rFonts w:hint="eastAsia"/>
          <w:sz w:val="20"/>
          <w:szCs w:val="20"/>
        </w:rPr>
        <w:t>姿态。平行四边形从动臂约束动平台相对静平台保持平行，从而将位置输入与姿态输入分开</w:t>
      </w:r>
      <w:r>
        <w:rPr>
          <w:sz w:val="20"/>
          <w:szCs w:val="20"/>
        </w:rPr>
        <w:t xml:space="preserve">。Fig. 8 </w:t>
      </w:r>
      <w:r>
        <w:rPr>
          <w:rFonts w:hint="eastAsia"/>
          <w:sz w:val="20"/>
          <w:szCs w:val="20"/>
        </w:rPr>
        <w:t>给出 Delta 机构、三轴手柄及转轴标注</w:t>
      </w:r>
      <w:r>
        <w:rPr>
          <w:rFonts w:hint="eastAsia"/>
          <w:color w:val="FF0000"/>
          <w:sz w:val="20"/>
          <w:szCs w:val="20"/>
          <w:highlight w:val="yellow"/>
        </w:rPr>
        <w:t>；手柄从 j1 到 j3 依次对应动轴滚转（roll）、俯仰（pitch）和偏航（yaw），简称 RPY。</w:t>
      </w:r>
    </w:p>
    <w:p w14:paraId="7A110006">
      <w:pPr>
        <w:pStyle w:val="7"/>
        <w:numPr>
          <w:ilvl w:val="0"/>
          <w:numId w:val="0"/>
        </w:numPr>
        <w:snapToGrid w:val="0"/>
        <w:rPr>
          <w:sz w:val="20"/>
        </w:rPr>
      </w:pPr>
      <w:r>
        <w:rPr>
          <w:rFonts w:ascii="Times New Roman" w:hAnsi="Times New Roman" w:eastAsia="宋体"/>
          <w:sz w:val="20"/>
          <w:szCs w:val="20"/>
        </w:rPr>
        <w:t>手柄侧面</w:t>
      </w:r>
      <w:r>
        <w:rPr>
          <w:rFonts w:hint="eastAsia"/>
          <w:sz w:val="20"/>
          <w:szCs w:val="20"/>
          <w:lang w:eastAsia="zh-CN"/>
        </w:rPr>
        <w:t>安装有</w:t>
      </w:r>
      <w:bookmarkStart w:id="17" w:name="_GoBack"/>
      <w:bookmarkEnd w:id="17"/>
      <w:r>
        <w:rPr>
          <w:rFonts w:ascii="Times New Roman" w:hAnsi="Times New Roman" w:eastAsia="宋体"/>
          <w:sz w:val="20"/>
          <w:szCs w:val="20"/>
        </w:rPr>
        <w:t>操作参考点重置按钮用于分段重新定位；在保持从端当前目标位姿连续的前提下，重新设置主从位置映射的参考点，即可继续输入后续操作指令。</w:t>
      </w:r>
    </w:p>
    <w:p w14:paraId="7A110007">
      <w:pPr>
        <w:pStyle w:val="4"/>
        <w:numPr>
          <w:ilvl w:val="2"/>
          <w:numId w:val="0"/>
        </w:numPr>
        <w:snapToGrid w:val="0"/>
      </w:pPr>
      <w:r>
        <w:rPr>
          <w:rFonts w:ascii="Times New Roman" w:hAnsi="Times New Roman" w:eastAsia="宋体"/>
          <w:sz w:val="20"/>
          <w:szCs w:val="20"/>
        </w:rPr>
        <w:t>2) 正运动学</w:t>
      </w:r>
    </w:p>
    <w:p w14:paraId="7A110008">
      <w:pPr>
        <w:pStyle w:val="7"/>
        <w:numPr>
          <w:ilvl w:val="0"/>
          <w:numId w:val="0"/>
        </w:numPr>
        <w:snapToGrid w:val="0"/>
        <w:rPr>
          <w:sz w:val="20"/>
        </w:rPr>
      </w:pPr>
      <w:r>
        <w:rPr>
          <w:rFonts w:ascii="Times New Roman" w:hAnsi="Times New Roman" w:eastAsia="宋体"/>
          <w:sz w:val="20"/>
          <w:szCs w:val="20"/>
        </w:rPr>
        <w:t>Delta 机构的几何参数列于 TABLE II。以下沿用系统结构中定义的平台基座坐标系 {D}，建立三条支链的几何约束。</w:t>
      </w:r>
    </w:p>
    <w:p w14:paraId="34E67E34">
      <w:pPr>
        <w:keepNext/>
        <w:keepLines/>
        <w:numPr>
          <w:ilvl w:val="0"/>
          <w:numId w:val="0"/>
        </w:numPr>
        <w:snapToGrid w:val="0"/>
        <w:spacing w:before="60" w:after="60" w:line="240" w:lineRule="auto"/>
        <w:ind w:left="0" w:right="0" w:firstLine="0"/>
        <w:jc w:val="center"/>
      </w:pPr>
      <w:r>
        <w:drawing>
          <wp:inline distT="0" distB="0" distL="0" distR="0">
            <wp:extent cx="3059430" cy="2039620"/>
            <wp:effectExtent l="0" t="0" r="7620" b="8255"/>
            <wp:docPr id="29" name="Fig. 8" descr="Delta 平移机构与三轴姿态手柄的机构、转轴和平行约束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 8" descr="Delta 平移机构与三轴姿态手柄的机构、转轴和平行约束示意"/>
                    <pic:cNvPicPr>
                      <a:picLocks noChangeAspect="1"/>
                    </pic:cNvPicPr>
                  </pic:nvPicPr>
                  <pic:blipFill>
                    <a:blip r:embed="rId15"/>
                    <a:stretch>
                      <a:fillRect/>
                    </a:stretch>
                  </pic:blipFill>
                  <pic:spPr>
                    <a:xfrm>
                      <a:off x="0" y="0"/>
                      <a:ext cx="3060000" cy="2040000"/>
                    </a:xfrm>
                    <a:prstGeom prst="rect">
                      <a:avLst/>
                    </a:prstGeom>
                  </pic:spPr>
                </pic:pic>
              </a:graphicData>
            </a:graphic>
          </wp:inline>
        </w:drawing>
      </w:r>
    </w:p>
    <w:p w14:paraId="6B1D5471">
      <w:pPr>
        <w:pStyle w:val="18"/>
        <w:numPr>
          <w:ilvl w:val="0"/>
          <w:numId w:val="0"/>
        </w:numPr>
        <w:snapToGrid w:val="0"/>
      </w:pPr>
      <w:r>
        <w:rPr>
          <w:iCs/>
        </w:rPr>
        <w:t xml:space="preserve">Fig. 8. </w:t>
      </w:r>
      <w:r>
        <w:rPr>
          <w:rFonts w:hint="eastAsia"/>
          <w:iCs/>
        </w:rPr>
        <w:t>遥操作主手结构与转轴示意。（a）Delta 平移机构，黄色闭合轮廓突出显示一组平行四边形从动臂；三支链共同约束动平台始终与静平台保持平行。（b）三轴姿态手柄，按安装端至握持端依次标出三个转动关节。红色点划线表示转轴中心线，蓝色标记表示平台平行关系。</w:t>
      </w:r>
    </w:p>
    <w:p w14:paraId="416DC73D">
      <w:pPr>
        <w:pStyle w:val="7"/>
        <w:numPr>
          <w:ilvl w:val="0"/>
          <w:numId w:val="0"/>
        </w:numPr>
        <w:snapToGrid w:val="0"/>
        <w:rPr>
          <w:sz w:val="20"/>
        </w:rPr>
      </w:pPr>
      <m:oMath>
        <m:r>
          <m:rPr>
            <m:sty m:val="p"/>
          </m:rPr>
          <w:rPr>
            <w:rFonts w:ascii="Cambria Math" w:hAnsi="Cambria Math" w:eastAsia="Cambria Math" w:cs="Cambria Math"/>
            <w:sz w:val="20"/>
            <w:szCs w:val="20"/>
          </w:rPr>
          <m:t>{D}</m:t>
        </m:r>
      </m:oMath>
      <w:r>
        <w:rPr>
          <w:rFonts w:hint="eastAsia"/>
          <w:sz w:val="20"/>
          <w:szCs w:val="20"/>
        </w:rPr>
        <w:t xml:space="preserve"> 的原点 O 位于静平台中心。正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轴垂直于静平台，由动平台指向静平台；正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轴在静平台平面内从 O 指向第一支链的静平台连接点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1</m:t>
            </m:r>
          </m:sub>
        </m:sSub>
      </m:oMath>
      <w:r>
        <w:rPr>
          <w:rFonts w:hint="eastAsia"/>
          <w:sz w:val="20"/>
          <w:szCs w:val="20"/>
        </w:rPr>
        <w:t>；</w:t>
      </w:r>
      <m:oMath>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oMath>
      <w:r>
        <w:rPr>
          <w:rFonts w:hint="eastAsia"/>
          <w:sz w:val="20"/>
          <w:szCs w:val="20"/>
        </w:rPr>
        <w:t xml:space="preserve"> 轴按右手系确定，工作侧为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&lt;0</m:t>
        </m:r>
      </m:oMath>
      <w:r>
        <w:rPr>
          <w:rFonts w:hint="eastAsia"/>
          <w:sz w:val="20"/>
          <w:szCs w:val="20"/>
        </w:rPr>
        <w:t xml:space="preserve">。静、动平台连接点分布圆半径分别记为 </w:t>
      </w:r>
      <m:oMath>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D</m:t>
            </m:r>
          </m:sub>
        </m:sSub>
      </m:oMath>
      <w:r>
        <w:rPr>
          <w:rFonts w:hint="eastAsia"/>
          <w:sz w:val="20"/>
          <w:szCs w:val="20"/>
        </w:rPr>
        <w:t xml:space="preserve">，主动臂和从动臂长度为 </w:t>
      </w:r>
      <m:oMath>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L</m:t>
            </m:r>
          </m:e>
          <m:sub>
            <m:r>
              <m:rPr>
                <m:sty m:val="p"/>
              </m:rPr>
              <w:rPr>
                <w:rFonts w:ascii="Cambria Math" w:hAnsi="Cambria Math" w:eastAsia="Cambria Math" w:cs="Cambria Math"/>
                <w:sz w:val="20"/>
                <w:szCs w:val="20"/>
              </w:rPr>
              <m:t>P</m:t>
            </m:r>
          </m:sub>
        </m:sSub>
      </m:oMath>
      <w:r>
        <w:rPr>
          <w:rFonts w:hint="eastAsia"/>
          <w:sz w:val="20"/>
          <w:szCs w:val="20"/>
        </w:rPr>
        <w:t xml:space="preserve">。三支链方位角绕正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轴按右手方向、从正 </w:t>
      </w:r>
      <m:oMath>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oMath>
      <w:r>
        <w:rPr>
          <w:rFonts w:hint="eastAsia"/>
          <w:sz w:val="20"/>
          <w:szCs w:val="20"/>
        </w:rPr>
        <w:t xml:space="preserve"> 轴起算：</w:t>
      </w:r>
      <m:oMath>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2π</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i</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r>
          <m:rPr>
            <m:sty m:val="p"/>
          </m:rPr>
          <w:rPr>
            <w:rFonts w:ascii="Cambria Math" w:hAnsi="Cambria Math" w:eastAsia="Cambria Math" w:cs="Cambria Math"/>
            <w:sz w:val="20"/>
            <w:szCs w:val="20"/>
          </w:rPr>
          <m:t>)/</m:t>
        </m:r>
        <m:r>
          <m:rPr/>
          <w:rPr>
            <w:rFonts w:ascii="Cambria Math" w:hAnsi="Cambria Math" w:eastAsia="Cambria Math" w:cs="Cambria Math"/>
            <w:sz w:val="20"/>
            <w:szCs w:val="20"/>
          </w:rPr>
          <m:t>3</m:t>
        </m:r>
      </m:oMath>
      <w:r>
        <w:rPr>
          <w:rFonts w:hint="eastAsia"/>
          <w:sz w:val="20"/>
          <w:szCs w:val="20"/>
        </w:rPr>
        <w:t xml:space="preserve">，径向单位矢量为 </w:t>
      </w:r>
      <m:oMath>
        <m:sSub>
          <m:sSubPr/>
          <m:e>
            <m:r>
              <m:rPr>
                <m:sty m:val="bi"/>
              </m:rPr>
              <w:rPr>
                <w:rFonts w:ascii="Cambria Math" w:hAnsi="Cambria Math" w:eastAsia="Cambria Math" w:cs="Cambria Math"/>
                <w:sz w:val="20"/>
                <w:szCs w:val="20"/>
              </w:rPr>
              <m:t>e</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=[0,−sin</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,cos</m:t>
        </m:r>
        <m:sSub>
          <m:sSubPr/>
          <m:e>
            <m:r>
              <m:rPr/>
              <w:rPr>
                <w:rFonts w:ascii="Cambria Math" w:hAnsi="Cambria Math" w:eastAsia="Cambria Math" w:cs="Cambria Math"/>
                <w:sz w:val="20"/>
                <w:szCs w:val="20"/>
              </w:rPr>
              <m:t>ψ</m:t>
            </m:r>
          </m:e>
          <m:sub>
            <m:r>
              <m:rPr/>
              <w:rPr>
                <w:rFonts w:ascii="Cambria Math" w:hAnsi="Cambria Math" w:eastAsia="Cambria Math" w:cs="Cambria Math"/>
                <w:sz w:val="20"/>
                <w:szCs w:val="20"/>
              </w:rPr>
              <m:t>i</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 xml:space="preserve">。主动臂角 </w:t>
      </w:r>
      <m:oMath>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r>
              <m:rPr/>
              <w:rPr>
                <w:rFonts w:ascii="Cambria Math" w:hAnsi="Cambria Math" w:eastAsia="Cambria Math" w:cs="Cambria Math"/>
                <w:sz w:val="20"/>
                <w:szCs w:val="20"/>
              </w:rPr>
              <m:t>i</m:t>
            </m:r>
          </m:sub>
        </m:sSub>
      </m:oMath>
      <w:r>
        <w:rPr>
          <w:rFonts w:hint="eastAsia"/>
          <w:sz w:val="20"/>
          <w:szCs w:val="20"/>
        </w:rPr>
        <w:t xml:space="preserve"> 从静平台平面内的径向外侧方向起算，朝负 </w:t>
      </w:r>
      <m:oMath>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oMath>
      <w:r>
        <w:rPr>
          <w:rFonts w:hint="eastAsia"/>
          <w:sz w:val="20"/>
          <w:szCs w:val="20"/>
        </w:rPr>
        <w:t xml:space="preserve"> 工作侧转动为正。几何关系如 Fig. 9 所示；单支链图采用对称构型展示角度与长度定义，虚线段对应(23)中的等效长度约束。</w:t>
      </w:r>
    </w:p>
    <w:p w14:paraId="6F109001">
      <w:pPr>
        <w:keepNext/>
        <w:keepLines/>
        <w:numPr>
          <w:ilvl w:val="0"/>
          <w:numId w:val="0"/>
        </w:numPr>
        <w:snapToGrid w:val="0"/>
        <w:spacing w:before="60" w:after="60" w:line="240" w:lineRule="auto"/>
        <w:ind w:left="0" w:right="0" w:firstLine="0"/>
        <w:jc w:val="center"/>
      </w:pPr>
      <w:r>
        <w:drawing>
          <wp:inline distT="0" distB="0" distL="0" distR="0">
            <wp:extent cx="3059430" cy="2045970"/>
            <wp:effectExtent l="0" t="0" r="0" b="0"/>
            <wp:docPr id="30" name="Fig. 9" descr="Delta 三支链及单支链几何模型，基座原点位于静平台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 9" descr="Delta 三支链及单支链几何模型，基座原点位于静平台中心"/>
                    <pic:cNvPicPr>
                      <a:picLocks noChangeAspect="1"/>
                    </pic:cNvPicPr>
                  </pic:nvPicPr>
                  <pic:blipFill>
                    <a:blip r:embed="rId16"/>
                    <a:stretch>
                      <a:fillRect/>
                    </a:stretch>
                  </pic:blipFill>
                  <pic:spPr>
                    <a:xfrm>
                      <a:off x="0" y="0"/>
                      <a:ext cx="3060000" cy="2046375"/>
                    </a:xfrm>
                    <a:prstGeom prst="rect">
                      <a:avLst/>
                    </a:prstGeom>
                  </pic:spPr>
                </pic:pic>
              </a:graphicData>
            </a:graphic>
          </wp:inline>
        </w:drawing>
      </w:r>
    </w:p>
    <w:p w14:paraId="6F109002">
      <w:pPr>
        <w:pStyle w:val="18"/>
        <w:numPr>
          <w:ilvl w:val="0"/>
          <w:numId w:val="0"/>
        </w:numPr>
        <w:snapToGrid w:val="0"/>
      </w:pPr>
      <w:r>
        <w:t>Fig. 9. Delta 机械臂几何模型。（a）三支链构型，基座原点 O 位于静平台中心，正 x 轴沿平台法向由动平台指向静平台，正 z 轴从 O 指向 A1，三轴按右手系定义；动平台中心为 P，成对从动杆构成平行四边形并保持两平台平行。（b）对称构型下的单支链剖面，标出平台半径、杆长、主动臂角及等效球心。</w:t>
      </w:r>
    </w:p>
    <w:p w14:paraId="7A9AE054">
      <w:pPr>
        <w:pStyle w:val="28"/>
        <w:keepNext/>
        <w:numPr>
          <w:ilvl w:val="0"/>
          <w:numId w:val="0"/>
        </w:numPr>
        <w:snapToGrid w:val="0"/>
      </w:pPr>
      <w:r>
        <w:rPr>
          <w:bCs/>
        </w:rPr>
        <w:t xml:space="preserve">TABLE II. Delta </w:t>
      </w:r>
      <w:r>
        <w:rPr>
          <w:rFonts w:hint="eastAsia"/>
          <w:bCs/>
        </w:rPr>
        <w:t>主端几何参数</w:t>
      </w:r>
    </w:p>
    <w:tbl>
      <w:tblPr>
        <w:tblStyle w:val="10"/>
        <w:tblW w:w="4866" w:type="dxa"/>
        <w:tblInd w:w="0" w:type="dxa"/>
        <w:tblLayout w:type="fixed"/>
        <w:tblCellMar>
          <w:top w:w="0" w:type="dxa"/>
          <w:left w:w="108" w:type="dxa"/>
          <w:bottom w:w="0" w:type="dxa"/>
          <w:right w:w="108" w:type="dxa"/>
        </w:tblCellMar>
      </w:tblPr>
      <w:tblGrid>
        <w:gridCol w:w="1622"/>
        <w:gridCol w:w="1622"/>
        <w:gridCol w:w="1622"/>
      </w:tblGrid>
      <w:tr w14:paraId="0D99D0AD">
        <w:tblPrEx>
          <w:tblCellMar>
            <w:top w:w="0" w:type="dxa"/>
            <w:left w:w="108" w:type="dxa"/>
            <w:bottom w:w="0" w:type="dxa"/>
            <w:right w:w="108" w:type="dxa"/>
          </w:tblCellMar>
        </w:tblPrEx>
        <w:trPr>
          <w:cantSplit/>
          <w:tblHeader/>
        </w:trPr>
        <w:tc>
          <w:tcPr>
            <w:tcW w:w="1622" w:type="dxa"/>
          </w:tcPr>
          <w:p w14:paraId="3E6B0195">
            <w:pPr>
              <w:pStyle w:val="24"/>
              <w:keepNext/>
              <w:numPr>
                <w:ilvl w:val="0"/>
                <w:numId w:val="0"/>
              </w:numPr>
              <w:snapToGrid w:val="0"/>
              <w:spacing w:before="0" w:after="0" w:line="240" w:lineRule="auto"/>
              <w:rPr>
                <w:sz w:val="16"/>
              </w:rPr>
            </w:pPr>
            <w:r>
              <w:rPr>
                <w:rFonts w:hint="eastAsia"/>
                <w:sz w:val="16"/>
                <w:szCs w:val="16"/>
              </w:rPr>
              <w:t>符号</w:t>
            </w:r>
          </w:p>
        </w:tc>
        <w:tc>
          <w:tcPr>
            <w:tcW w:w="1622" w:type="dxa"/>
          </w:tcPr>
          <w:p w14:paraId="73A680E0">
            <w:pPr>
              <w:pStyle w:val="24"/>
              <w:keepNext/>
              <w:numPr>
                <w:ilvl w:val="0"/>
                <w:numId w:val="0"/>
              </w:numPr>
              <w:snapToGrid w:val="0"/>
              <w:spacing w:before="0" w:after="0" w:line="240" w:lineRule="auto"/>
              <w:rPr>
                <w:sz w:val="16"/>
              </w:rPr>
            </w:pPr>
            <w:r>
              <w:rPr>
                <w:rFonts w:hint="eastAsia"/>
                <w:sz w:val="16"/>
                <w:szCs w:val="16"/>
              </w:rPr>
              <w:t>数值</w:t>
            </w:r>
          </w:p>
        </w:tc>
        <w:tc>
          <w:tcPr>
            <w:tcW w:w="1622" w:type="dxa"/>
          </w:tcPr>
          <w:p w14:paraId="6C937CEE">
            <w:pPr>
              <w:pStyle w:val="24"/>
              <w:keepNext/>
              <w:numPr>
                <w:ilvl w:val="0"/>
                <w:numId w:val="0"/>
              </w:numPr>
              <w:snapToGrid w:val="0"/>
              <w:spacing w:before="0" w:after="0" w:line="240" w:lineRule="auto"/>
              <w:rPr>
                <w:sz w:val="16"/>
              </w:rPr>
            </w:pPr>
            <w:r>
              <w:rPr>
                <w:rFonts w:hint="eastAsia"/>
                <w:sz w:val="16"/>
                <w:szCs w:val="16"/>
              </w:rPr>
              <w:t>含义</w:t>
            </w:r>
          </w:p>
        </w:tc>
      </w:tr>
      <w:tr w14:paraId="1A0847BB">
        <w:tblPrEx>
          <w:tblCellMar>
            <w:top w:w="0" w:type="dxa"/>
            <w:left w:w="108" w:type="dxa"/>
            <w:bottom w:w="0" w:type="dxa"/>
            <w:right w:w="108" w:type="dxa"/>
          </w:tblCellMar>
        </w:tblPrEx>
        <w:trPr>
          <w:cantSplit/>
        </w:trPr>
        <w:tc>
          <w:tcPr>
            <w:tcW w:w="1622" w:type="dxa"/>
          </w:tcPr>
          <w:p w14:paraId="7AE20E6F">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1B86A697">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0.095 </m:t>
                </m:r>
                <m:r>
                  <m:rPr>
                    <m:sty m:val="p"/>
                  </m:rPr>
                  <w:rPr>
                    <w:rFonts w:ascii="Cambria Math" w:hAnsi="Cambria Math" w:eastAsia="Cambria Math" w:cs="Cambria Math"/>
                    <w:sz w:val="16"/>
                    <w:szCs w:val="16"/>
                  </w:rPr>
                  <m:t>m</m:t>
                </m:r>
              </m:oMath>
            </m:oMathPara>
          </w:p>
        </w:tc>
        <w:tc>
          <w:tcPr>
            <w:tcW w:w="1622" w:type="dxa"/>
          </w:tcPr>
          <w:p w14:paraId="2B191AC7">
            <w:pPr>
              <w:pStyle w:val="26"/>
              <w:keepNext/>
              <w:numPr>
                <w:ilvl w:val="0"/>
                <w:numId w:val="0"/>
              </w:numPr>
              <w:snapToGrid w:val="0"/>
              <w:spacing w:before="0" w:after="0" w:line="240" w:lineRule="auto"/>
              <w:rPr>
                <w:sz w:val="16"/>
              </w:rPr>
            </w:pPr>
            <w:r>
              <w:rPr>
                <w:rFonts w:hint="eastAsia"/>
                <w:sz w:val="16"/>
                <w:szCs w:val="16"/>
              </w:rPr>
              <w:t>静平台连接点分布圆半径</w:t>
            </w:r>
          </w:p>
        </w:tc>
      </w:tr>
      <w:tr w14:paraId="364FFBF3">
        <w:tblPrEx>
          <w:tblCellMar>
            <w:top w:w="0" w:type="dxa"/>
            <w:left w:w="108" w:type="dxa"/>
            <w:bottom w:w="0" w:type="dxa"/>
            <w:right w:w="108" w:type="dxa"/>
          </w:tblCellMar>
        </w:tblPrEx>
        <w:trPr>
          <w:cantSplit/>
        </w:trPr>
        <w:tc>
          <w:tcPr>
            <w:tcW w:w="1622" w:type="dxa"/>
          </w:tcPr>
          <w:p w14:paraId="3F02EEE3">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r</m:t>
                    </m:r>
                  </m:e>
                  <m:sub>
                    <m:r>
                      <m:rPr>
                        <m:sty m:val="p"/>
                      </m:rPr>
                      <w:rPr>
                        <w:rFonts w:ascii="Cambria Math" w:hAnsi="Cambria Math" w:eastAsia="Cambria Math" w:cs="Cambria Math"/>
                        <w:sz w:val="16"/>
                        <w:szCs w:val="16"/>
                      </w:rPr>
                      <m:t>D</m:t>
                    </m:r>
                  </m:sub>
                </m:sSub>
              </m:oMath>
            </m:oMathPara>
          </w:p>
        </w:tc>
        <w:tc>
          <w:tcPr>
            <w:tcW w:w="1622" w:type="dxa"/>
          </w:tcPr>
          <w:p w14:paraId="7AC11C12">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0.066 </m:t>
                </m:r>
                <m:r>
                  <m:rPr>
                    <m:sty m:val="p"/>
                  </m:rPr>
                  <w:rPr>
                    <w:rFonts w:ascii="Cambria Math" w:hAnsi="Cambria Math" w:eastAsia="Cambria Math" w:cs="Cambria Math"/>
                    <w:sz w:val="16"/>
                    <w:szCs w:val="16"/>
                  </w:rPr>
                  <m:t>m</m:t>
                </m:r>
              </m:oMath>
            </m:oMathPara>
          </w:p>
        </w:tc>
        <w:tc>
          <w:tcPr>
            <w:tcW w:w="1622" w:type="dxa"/>
          </w:tcPr>
          <w:p w14:paraId="1BB756C5">
            <w:pPr>
              <w:pStyle w:val="26"/>
              <w:keepNext/>
              <w:numPr>
                <w:ilvl w:val="0"/>
                <w:numId w:val="0"/>
              </w:numPr>
              <w:snapToGrid w:val="0"/>
              <w:spacing w:before="0" w:after="0" w:line="240" w:lineRule="auto"/>
              <w:rPr>
                <w:sz w:val="16"/>
              </w:rPr>
            </w:pPr>
            <w:r>
              <w:rPr>
                <w:rFonts w:hint="eastAsia"/>
                <w:sz w:val="16"/>
                <w:szCs w:val="16"/>
              </w:rPr>
              <w:t>动平台连接点分布圆半径</w:t>
            </w:r>
          </w:p>
        </w:tc>
      </w:tr>
      <w:tr w14:paraId="1283F46E">
        <w:trPr>
          <w:cantSplit/>
        </w:trPr>
        <w:tc>
          <w:tcPr>
            <w:tcW w:w="1622" w:type="dxa"/>
          </w:tcPr>
          <w:p w14:paraId="3733649A">
            <w:pPr>
              <w:pStyle w:val="26"/>
              <w:keepNext/>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D</m:t>
                    </m:r>
                  </m:sub>
                </m:sSub>
              </m:oMath>
            </m:oMathPara>
          </w:p>
        </w:tc>
        <w:tc>
          <w:tcPr>
            <w:tcW w:w="1622" w:type="dxa"/>
          </w:tcPr>
          <w:p w14:paraId="0F648EC9">
            <w:pPr>
              <w:pStyle w:val="26"/>
              <w:keepNext/>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0.150 </m:t>
                </m:r>
                <m:r>
                  <m:rPr>
                    <m:sty m:val="p"/>
                  </m:rPr>
                  <w:rPr>
                    <w:rFonts w:ascii="Cambria Math" w:hAnsi="Cambria Math" w:eastAsia="Cambria Math" w:cs="Cambria Math"/>
                    <w:sz w:val="16"/>
                    <w:szCs w:val="16"/>
                  </w:rPr>
                  <m:t>m</m:t>
                </m:r>
              </m:oMath>
            </m:oMathPara>
          </w:p>
        </w:tc>
        <w:tc>
          <w:tcPr>
            <w:tcW w:w="1622" w:type="dxa"/>
          </w:tcPr>
          <w:p w14:paraId="368D472B">
            <w:pPr>
              <w:pStyle w:val="26"/>
              <w:keepNext/>
              <w:numPr>
                <w:ilvl w:val="0"/>
                <w:numId w:val="0"/>
              </w:numPr>
              <w:snapToGrid w:val="0"/>
              <w:spacing w:before="0" w:after="0" w:line="240" w:lineRule="auto"/>
              <w:rPr>
                <w:sz w:val="16"/>
              </w:rPr>
            </w:pPr>
            <w:r>
              <w:rPr>
                <w:rFonts w:hint="eastAsia"/>
                <w:sz w:val="16"/>
                <w:szCs w:val="16"/>
              </w:rPr>
              <w:t>主动臂中心距</w:t>
            </w:r>
          </w:p>
        </w:tc>
      </w:tr>
      <w:tr w14:paraId="1D77C74A">
        <w:tblPrEx>
          <w:tblCellMar>
            <w:top w:w="0" w:type="dxa"/>
            <w:left w:w="108" w:type="dxa"/>
            <w:bottom w:w="0" w:type="dxa"/>
            <w:right w:w="108" w:type="dxa"/>
          </w:tblCellMar>
        </w:tblPrEx>
        <w:trPr>
          <w:cantSplit/>
        </w:trPr>
        <w:tc>
          <w:tcPr>
            <w:tcW w:w="1622" w:type="dxa"/>
          </w:tcPr>
          <w:p w14:paraId="43F3A4EF">
            <w:pPr>
              <w:pStyle w:val="26"/>
              <w:keepNext w:val="0"/>
              <w:numPr>
                <w:ilvl w:val="0"/>
                <w:numId w:val="0"/>
              </w:numPr>
              <w:snapToGrid w:val="0"/>
              <w:spacing w:before="0" w:after="0" w:line="240" w:lineRule="auto"/>
              <w:rPr>
                <w:sz w:val="16"/>
              </w:rPr>
            </w:pPr>
            <m:oMathPara>
              <m:oMath>
                <m:sSub>
                  <m:sSubPr/>
                  <m:e>
                    <m:r>
                      <m:rPr/>
                      <w:rPr>
                        <w:rFonts w:ascii="Cambria Math" w:hAnsi="Cambria Math" w:eastAsia="Cambria Math" w:cs="Cambria Math"/>
                        <w:sz w:val="16"/>
                        <w:szCs w:val="16"/>
                      </w:rPr>
                      <m:t>L</m:t>
                    </m:r>
                  </m:e>
                  <m:sub>
                    <m:r>
                      <m:rPr>
                        <m:sty m:val="p"/>
                      </m:rPr>
                      <w:rPr>
                        <w:rFonts w:ascii="Cambria Math" w:hAnsi="Cambria Math" w:eastAsia="Cambria Math" w:cs="Cambria Math"/>
                        <w:sz w:val="16"/>
                        <w:szCs w:val="16"/>
                      </w:rPr>
                      <m:t>P</m:t>
                    </m:r>
                  </m:sub>
                </m:sSub>
              </m:oMath>
            </m:oMathPara>
          </w:p>
        </w:tc>
        <w:tc>
          <w:tcPr>
            <w:tcW w:w="1622" w:type="dxa"/>
          </w:tcPr>
          <w:p w14:paraId="2CD48247">
            <w:pPr>
              <w:pStyle w:val="26"/>
              <w:keepNext w:val="0"/>
              <w:numPr>
                <w:ilvl w:val="0"/>
                <w:numId w:val="0"/>
              </w:numPr>
              <w:snapToGrid w:val="0"/>
              <w:spacing w:before="0" w:after="0" w:line="240" w:lineRule="auto"/>
              <w:rPr>
                <w:sz w:val="16"/>
              </w:rPr>
            </w:pPr>
            <m:oMathPara>
              <m:oMath>
                <m:r>
                  <m:rPr/>
                  <w:rPr>
                    <w:rFonts w:ascii="Cambria Math" w:hAnsi="Cambria Math" w:eastAsia="Cambria Math" w:cs="Cambria Math"/>
                    <w:sz w:val="16"/>
                    <w:szCs w:val="16"/>
                  </w:rPr>
                  <m:t>0.200 </m:t>
                </m:r>
                <m:r>
                  <m:rPr>
                    <m:sty m:val="p"/>
                  </m:rPr>
                  <w:rPr>
                    <w:rFonts w:ascii="Cambria Math" w:hAnsi="Cambria Math" w:eastAsia="Cambria Math" w:cs="Cambria Math"/>
                    <w:sz w:val="16"/>
                    <w:szCs w:val="16"/>
                  </w:rPr>
                  <m:t>m</m:t>
                </m:r>
              </m:oMath>
            </m:oMathPara>
          </w:p>
        </w:tc>
        <w:tc>
          <w:tcPr>
            <w:tcW w:w="1622" w:type="dxa"/>
          </w:tcPr>
          <w:p w14:paraId="2D4C8BB4">
            <w:pPr>
              <w:pStyle w:val="26"/>
              <w:keepNext w:val="0"/>
              <w:numPr>
                <w:ilvl w:val="0"/>
                <w:numId w:val="0"/>
              </w:numPr>
              <w:snapToGrid w:val="0"/>
              <w:spacing w:before="0" w:after="0" w:line="240" w:lineRule="auto"/>
              <w:rPr>
                <w:sz w:val="16"/>
              </w:rPr>
            </w:pPr>
            <w:r>
              <w:rPr>
                <w:rFonts w:hint="eastAsia"/>
                <w:sz w:val="16"/>
                <w:szCs w:val="16"/>
              </w:rPr>
              <w:t>从动臂中心距</w:t>
            </w:r>
          </w:p>
        </w:tc>
      </w:tr>
    </w:tbl>
    <w:p w14:paraId="20B32C33">
      <w:pPr>
        <w:pStyle w:val="7"/>
        <w:numPr>
          <w:ilvl w:val="0"/>
          <w:numId w:val="0"/>
        </w:numPr>
        <w:snapToGrid w:val="0"/>
        <w:rPr>
          <w:sz w:val="20"/>
        </w:rPr>
      </w:pPr>
      <w:r>
        <w:rPr>
          <w:rFonts w:hint="eastAsia"/>
          <w:sz w:val="20"/>
          <w:szCs w:val="20"/>
        </w:rPr>
        <w:t>设动平台中心为</w:t>
      </w:r>
      <w:r>
        <w:rPr>
          <w:sz w:val="20"/>
          <w:szCs w:val="20"/>
        </w:rPr>
        <w:t xml:space="preserve">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，将动平台半径移入支链几何后，等效球心为</w:t>
      </w:r>
    </w:p>
    <w:tbl>
      <w:tblPr>
        <w:tblStyle w:val="10"/>
        <w:tblW w:w="4866" w:type="dxa"/>
        <w:tblCaption w:val="Equation 2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B4CE4CB">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B111D80">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cos</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sin</m:t>
                </m:r>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r>
                      <m:rPr/>
                      <w:rPr>
                        <w:rFonts w:ascii="Cambria Math" w:hAnsi="Cambria Math" w:eastAsia="Cambria Math" w:cs="Cambria Math"/>
                        <w:sz w:val="18"/>
                        <w:szCs w:val="18"/>
                      </w:rPr>
                      <m:t>i</m:t>
                    </m:r>
                  </m:sub>
                </m:sSub>
                <m:sSub>
                  <m:sSubPr/>
                  <m:e>
                    <m:r>
                      <m:rPr>
                        <m:sty m:val="bi"/>
                      </m:rPr>
                      <w:rPr>
                        <w:rFonts w:ascii="Cambria Math" w:hAnsi="Cambria Math" w:eastAsia="Cambria Math" w:cs="Cambria Math"/>
                        <w:sz w:val="18"/>
                        <w:szCs w:val="18"/>
                      </w:rPr>
                      <m:t>e</m:t>
                    </m:r>
                  </m:e>
                  <m:sub>
                    <m:r>
                      <m:rPr/>
                      <w:rPr>
                        <w:rFonts w:ascii="Cambria Math" w:hAnsi="Cambria Math" w:eastAsia="Cambria Math" w:cs="Cambria Math"/>
                        <w:sz w:val="18"/>
                        <w:szCs w:val="18"/>
                      </w:rPr>
                      <m:t>x</m:t>
                    </m:r>
                  </m:sub>
                </m:sSub>
                <m:r>
                  <m:rPr>
                    <m:sty m:val="p"/>
                  </m:rPr>
                  <w:rPr>
                    <w:rFonts w:ascii="Cambria Math" w:hAnsi="Cambria Math" w:eastAsia="Cambria Math" w:cs="Cambria Math"/>
                    <w:sz w:val="18"/>
                    <w:szCs w:val="18"/>
                  </w:rPr>
                  <m:t>.</m:t>
                </m:r>
              </m:oMath>
            </m:oMathPara>
          </w:p>
        </w:tc>
        <w:tc>
          <w:tcPr>
            <w:tcW w:w="390" w:type="dxa"/>
            <w:vAlign w:val="center"/>
          </w:tcPr>
          <w:p w14:paraId="7BEA39E9">
            <w:pPr>
              <w:numPr>
                <w:ilvl w:val="0"/>
                <w:numId w:val="0"/>
              </w:numPr>
              <w:snapToGrid w:val="0"/>
              <w:jc w:val="right"/>
              <w:rPr>
                <w:sz w:val="16"/>
              </w:rPr>
            </w:pPr>
            <w:r>
              <w:rPr>
                <w:sz w:val="16"/>
                <w:szCs w:val="16"/>
              </w:rPr>
              <w:t>(22)</w:t>
            </w:r>
          </w:p>
        </w:tc>
      </w:tr>
    </w:tbl>
    <w:p w14:paraId="11D43FF1">
      <w:pPr>
        <w:pStyle w:val="7"/>
        <w:numPr>
          <w:ilvl w:val="0"/>
          <w:numId w:val="0"/>
        </w:numPr>
        <w:snapToGrid w:val="0"/>
        <w:rPr>
          <w:sz w:val="20"/>
        </w:rPr>
      </w:pPr>
      <w:r>
        <w:rPr>
          <w:rFonts w:hint="eastAsia"/>
          <w:sz w:val="20"/>
          <w:szCs w:val="20"/>
        </w:rPr>
        <w:t>从动臂等长约束给出三球交点方程</w:t>
      </w:r>
    </w:p>
    <w:tbl>
      <w:tblPr>
        <w:tblStyle w:val="10"/>
        <w:tblW w:w="4866" w:type="dxa"/>
        <w:tblCaption w:val="Equation 2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2B6C9ED">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23D2A6F4">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B1F614D">
            <w:pPr>
              <w:numPr>
                <w:ilvl w:val="0"/>
                <w:numId w:val="0"/>
              </w:numPr>
              <w:snapToGrid w:val="0"/>
              <w:jc w:val="right"/>
              <w:rPr>
                <w:sz w:val="16"/>
              </w:rPr>
            </w:pPr>
            <w:r>
              <w:rPr>
                <w:sz w:val="16"/>
                <w:szCs w:val="16"/>
              </w:rPr>
              <w:t>(23)</w:t>
            </w:r>
          </w:p>
        </w:tc>
      </w:tr>
    </w:tbl>
    <w:p w14:paraId="539906AA">
      <w:pPr>
        <w:pStyle w:val="7"/>
        <w:numPr>
          <w:ilvl w:val="0"/>
          <w:numId w:val="0"/>
        </w:numPr>
        <w:snapToGrid w:val="0"/>
        <w:rPr>
          <w:sz w:val="20"/>
        </w:rPr>
      </w:pPr>
      <w:r>
        <w:rPr>
          <w:rFonts w:hint="eastAsia"/>
          <w:sz w:val="20"/>
          <w:szCs w:val="20"/>
        </w:rPr>
        <w:t>第</w:t>
      </w:r>
      <w:r>
        <w:rPr>
          <w:sz w:val="20"/>
          <w:szCs w:val="20"/>
        </w:rPr>
        <w:t xml:space="preserve"> 2、3 </w:t>
      </w:r>
      <w:r>
        <w:rPr>
          <w:rFonts w:hint="eastAsia"/>
          <w:sz w:val="20"/>
          <w:szCs w:val="20"/>
        </w:rPr>
        <w:t>个方程分别减去第</w:t>
      </w:r>
      <w:r>
        <w:rPr>
          <w:sz w:val="20"/>
          <w:szCs w:val="20"/>
        </w:rPr>
        <w:t xml:space="preserve"> 1 </w:t>
      </w:r>
      <w:r>
        <w:rPr>
          <w:rFonts w:hint="eastAsia"/>
          <w:sz w:val="20"/>
          <w:szCs w:val="20"/>
        </w:rPr>
        <w:t>个方程，可消除二次项，得到</w:t>
      </w:r>
    </w:p>
    <w:tbl>
      <w:tblPr>
        <w:tblStyle w:val="10"/>
        <w:tblW w:w="4866" w:type="dxa"/>
        <w:tblCaption w:val="Equation 24"/>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37B87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09D706C">
            <w:pPr>
              <w:pStyle w:val="17"/>
              <w:numPr>
                <w:ilvl w:val="0"/>
                <w:numId w:val="0"/>
              </w:numPr>
              <w:snapToGrid w:val="0"/>
              <w:spacing w:before="100" w:after="100" w:line="240" w:lineRule="auto"/>
              <w:ind w:left="0" w:right="0" w:firstLine="0"/>
              <w:jc w:val="center"/>
              <w:rPr>
                <w:sz w:val="18"/>
              </w:rPr>
            </w:pPr>
            <m:oMathPara>
              <m:oMathParaPr>
                <m:jc m:val="center"/>
              </m:oMathParaPr>
              <m:oMath>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i</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bSup>
                  <m:sSubSupPr/>
                  <m:e>
                    <m:r>
                      <m:rPr>
                        <m:sty m:val="p"/>
                      </m:rPr>
                      <w:rPr>
                        <w:rFonts w:ascii="Cambria Math" w:hAnsi="Cambria Math" w:eastAsia="Cambria Math" w:cs="Cambria Math"/>
                        <w:sz w:val="18"/>
                        <w:szCs w:val="18"/>
                      </w:rPr>
                      <m:t>∥</m:t>
                    </m:r>
                  </m:e>
                  <m:sub>
                    <m:r>
                      <m:rPr/>
                      <w:rPr>
                        <w:rFonts w:ascii="Cambria Math" w:hAnsi="Cambria Math" w:eastAsia="Cambria Math" w:cs="Cambria Math"/>
                        <w:sz w:val="18"/>
                        <w:szCs w:val="18"/>
                      </w:rPr>
                      <m:t>2</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r>
                  <m:rPr/>
                  <w:rPr>
                    <w:rFonts w:ascii="Cambria Math" w:hAnsi="Cambria Math" w:eastAsia="Cambria Math" w:cs="Cambria Math"/>
                    <w:sz w:val="18"/>
                    <w:szCs w:val="18"/>
                  </w:rPr>
                  <m:t> i</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3</m:t>
                </m:r>
                <m:r>
                  <m:rPr>
                    <m:sty m:val="p"/>
                  </m:rPr>
                  <w:rPr>
                    <w:rFonts w:ascii="Cambria Math" w:hAnsi="Cambria Math" w:eastAsia="Cambria Math" w:cs="Cambria Math"/>
                    <w:sz w:val="18"/>
                    <w:szCs w:val="18"/>
                  </w:rPr>
                  <m:t>.</m:t>
                </m:r>
              </m:oMath>
            </m:oMathPara>
          </w:p>
        </w:tc>
        <w:tc>
          <w:tcPr>
            <w:tcW w:w="390" w:type="dxa"/>
            <w:vAlign w:val="center"/>
          </w:tcPr>
          <w:p w14:paraId="4862A03E">
            <w:pPr>
              <w:numPr>
                <w:ilvl w:val="0"/>
                <w:numId w:val="0"/>
              </w:numPr>
              <w:snapToGrid w:val="0"/>
              <w:jc w:val="right"/>
              <w:rPr>
                <w:sz w:val="16"/>
              </w:rPr>
            </w:pPr>
            <w:r>
              <w:rPr>
                <w:sz w:val="16"/>
                <w:szCs w:val="16"/>
              </w:rPr>
              <w:t>(24)</w:t>
            </w:r>
          </w:p>
        </w:tc>
      </w:tr>
    </w:tbl>
    <w:p w14:paraId="279C7784">
      <w:pPr>
        <w:pStyle w:val="7"/>
        <w:numPr>
          <w:ilvl w:val="0"/>
          <w:numId w:val="0"/>
        </w:numPr>
        <w:snapToGrid w:val="0"/>
        <w:rPr>
          <w:sz w:val="20"/>
        </w:rPr>
      </w:pPr>
      <w:r>
        <w:rPr>
          <w:rFonts w:hint="eastAsia"/>
          <w:sz w:val="20"/>
          <w:szCs w:val="20"/>
        </w:rPr>
        <w:t>记</w:t>
      </w:r>
      <w:r>
        <w:rPr>
          <w:sz w:val="20"/>
          <w:szCs w:val="20"/>
        </w:rPr>
        <w:t xml:space="preserve"> </w:t>
      </w:r>
      <m:oMath>
        <m:sSub>
          <m:sSubPr/>
          <m:e>
            <m:r>
              <m:rPr>
                <m:sty m:val="bi"/>
              </m:rPr>
              <w:rPr>
                <w:rFonts w:ascii="Cambria Math" w:hAnsi="Cambria Math" w:eastAsia="Cambria Math" w:cs="Cambria Math"/>
                <w:sz w:val="20"/>
                <w:szCs w:val="20"/>
              </w:rPr>
              <m:t>c</m:t>
            </m:r>
          </m:e>
          <m:sub>
            <m:r>
              <m:rPr/>
              <w:rPr>
                <w:rFonts w:ascii="Cambria Math" w:hAnsi="Cambria Math" w:eastAsia="Cambria Math" w:cs="Cambria Math"/>
                <w:sz w:val="20"/>
                <w:szCs w:val="20"/>
              </w:rPr>
              <m:t>i</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w:rPr>
                <w:rFonts w:ascii="Cambria Math" w:hAnsi="Cambria Math" w:eastAsia="Cambria Math" w:cs="Cambria Math"/>
                <w:sz w:val="20"/>
                <w:szCs w:val="20"/>
              </w:rPr>
              <m:t>iz</m:t>
            </m:r>
          </m:sub>
        </m:sSub>
        <m:sSup>
          <m:sSupPr/>
          <m:e>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hint="eastAsia"/>
          <w:sz w:val="20"/>
          <w:szCs w:val="20"/>
        </w:rPr>
        <w:t>，定义</w:t>
      </w:r>
    </w:p>
    <w:tbl>
      <w:tblPr>
        <w:tblStyle w:val="10"/>
        <w:tblW w:w="4866" w:type="dxa"/>
        <w:tblCaption w:val="Equation 25"/>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5631283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50794A8D">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m>
                          <m:mPr>
                            <m:mcs>
                              <m:mc>
                                <m:mcPr>
                                  <m:count m:val="2"/>
                                  <m:mcJc m:val="center"/>
                                </m:mcPr>
                              </m:mc>
                            </m:mcs>
                            <m:plcHide m:val="1"/>
                          </m:mP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r>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3y</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1y</m:t>
                                  </m:r>
                                </m:sub>
                              </m:sSub>
                            </m:e>
                            <m:e>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1z</m:t>
                                  </m:r>
                                </m:sub>
                              </m:sSub>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d</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d>
                      <m:dPr>
                        <m:begChr m:val="["/>
                        <m:sepChr m:val=""/>
                        <m:endChr m:val="]"/>
                      </m:dPr>
                      <m:e>
                        <m:m>
                          <m:mPr>
                            <m:mcs>
                              <m:mc>
                                <m:mcPr>
                                  <m:count m:val="1"/>
                                  <m:mcJc m:val="center"/>
                                </m:mcPr>
                              </m:mc>
                            </m:mcs>
                            <m:plcHide m:val="1"/>
                          </m:mP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2</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r>
                            <m:e>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3</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e>
                          </m:mr>
                        </m:m>
                      </m:e>
                    </m:d>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e</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2x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3x</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e>
                </m:eqArr>
              </m:oMath>
            </m:oMathPara>
          </w:p>
        </w:tc>
        <w:tc>
          <w:tcPr>
            <w:tcW w:w="390" w:type="dxa"/>
            <w:vAlign w:val="center"/>
          </w:tcPr>
          <w:p w14:paraId="08D3979E">
            <w:pPr>
              <w:numPr>
                <w:ilvl w:val="0"/>
                <w:numId w:val="0"/>
              </w:numPr>
              <w:snapToGrid w:val="0"/>
              <w:jc w:val="right"/>
              <w:rPr>
                <w:sz w:val="16"/>
              </w:rPr>
            </w:pPr>
            <w:r>
              <w:rPr>
                <w:sz w:val="16"/>
                <w:szCs w:val="16"/>
              </w:rPr>
              <w:t>(25)</w:t>
            </w:r>
          </w:p>
        </w:tc>
      </w:tr>
    </w:tbl>
    <w:p w14:paraId="1132F1DA">
      <w:pPr>
        <w:pStyle w:val="7"/>
        <w:numPr>
          <w:ilvl w:val="0"/>
          <w:numId w:val="0"/>
        </w:numPr>
        <w:snapToGrid w:val="0"/>
        <w:rPr>
          <w:sz w:val="20"/>
        </w:rPr>
      </w:pPr>
      <w:r>
        <w:rPr>
          <w:rFonts w:hint="eastAsia"/>
          <w:sz w:val="20"/>
          <w:szCs w:val="20"/>
        </w:rPr>
        <w:t>在</w:t>
      </w:r>
      <w:r>
        <w:rPr>
          <w:sz w:val="20"/>
          <w:szCs w:val="20"/>
        </w:rPr>
        <w:t xml:space="preserve"> </w:t>
      </w:r>
      <m:oMath>
        <m:sSub>
          <m:sSub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oMath>
      <w:r>
        <w:rPr>
          <w:sz w:val="20"/>
          <w:szCs w:val="20"/>
        </w:rPr>
        <w:t xml:space="preserve"> </w:t>
      </w:r>
      <w:r>
        <w:rPr>
          <w:rFonts w:hint="eastAsia"/>
          <w:sz w:val="20"/>
          <w:szCs w:val="20"/>
        </w:rPr>
        <w:t>可逆时，令</w:t>
      </w:r>
      <w:r>
        <w:rPr>
          <w:sz w:val="20"/>
          <w:szCs w:val="20"/>
        </w:rPr>
        <w:t xml:space="preserve"> </w:t>
      </w:r>
      <m:oMath>
        <m:r>
          <m:rPr>
            <m:sty m:val="bi"/>
          </m:rPr>
          <w:rPr>
            <w:rFonts w:ascii="Cambria Math" w:hAnsi="Cambria Math" w:eastAsia="Cambria Math" w:cs="Cambria Math"/>
            <w:sz w:val="20"/>
            <w:szCs w:val="20"/>
          </w:rPr>
          <m:t>u</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d</m:t>
            </m:r>
          </m:e>
          <m:sub>
            <m:r>
              <m:rPr>
                <m:sty m:val="p"/>
              </m:rPr>
              <w:rPr>
                <w:rFonts w:ascii="Cambria Math" w:hAnsi="Cambria Math" w:eastAsia="Cambria Math" w:cs="Cambria Math"/>
                <w:sz w:val="20"/>
                <w:szCs w:val="20"/>
              </w:rPr>
              <m:t>D</m:t>
            </m:r>
          </m:sub>
        </m:sSub>
      </m:oMath>
      <w:r>
        <w:rPr>
          <w:sz w:val="20"/>
          <w:szCs w:val="20"/>
        </w:rPr>
        <w:t>、</w:t>
      </w:r>
      <m:oMath>
        <m:r>
          <m:rPr>
            <m:sty m:val="bi"/>
          </m:rPr>
          <w:rPr>
            <w:rFonts w:ascii="Cambria Math" w:hAnsi="Cambria Math" w:eastAsia="Cambria Math" w:cs="Cambria Math"/>
            <w:sz w:val="20"/>
            <w:szCs w:val="20"/>
          </w:rPr>
          <m:t>v</m:t>
        </m:r>
        <m:r>
          <m:rPr>
            <m:sty m:val="p"/>
          </m:rPr>
          <w:rPr>
            <w:rFonts w:ascii="Cambria Math" w:hAnsi="Cambria Math" w:eastAsia="Cambria Math" w:cs="Cambria Math"/>
            <w:sz w:val="20"/>
            <w:szCs w:val="20"/>
          </w:rPr>
          <m:t>=−</m:t>
        </m:r>
        <m:sSubSup>
          <m:sSubSupPr/>
          <m:e>
            <m:r>
              <m:rPr>
                <m:sty m:val="b"/>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up>
            <m:r>
              <m:rPr>
                <m:sty m:val="p"/>
              </m:rPr>
              <w:rPr>
                <w:rFonts w:ascii="Cambria Math" w:hAnsi="Cambria Math" w:eastAsia="Cambria Math" w:cs="Cambria Math"/>
                <w:sz w:val="20"/>
                <w:szCs w:val="20"/>
              </w:rPr>
              <m:t>−</m:t>
            </m:r>
            <m:r>
              <m:rPr/>
              <w:rPr>
                <w:rFonts w:ascii="Cambria Math" w:hAnsi="Cambria Math" w:eastAsia="Cambria Math" w:cs="Cambria Math"/>
                <w:sz w:val="20"/>
                <w:szCs w:val="20"/>
              </w:rPr>
              <m:t>1</m:t>
            </m:r>
          </m:sup>
        </m:sSubSup>
        <m:sSub>
          <m:sSubPr/>
          <m:e>
            <m:r>
              <m:rPr>
                <m:sty m:val="bi"/>
              </m:rPr>
              <w:rPr>
                <w:rFonts w:ascii="Cambria Math" w:hAnsi="Cambria Math" w:eastAsia="Cambria Math" w:cs="Cambria Math"/>
                <w:sz w:val="20"/>
                <w:szCs w:val="20"/>
              </w:rPr>
              <m:t>e</m:t>
            </m:r>
          </m:e>
          <m:sub>
            <m:r>
              <m:rPr>
                <m:sty m:val="p"/>
              </m:rPr>
              <w:rPr>
                <w:rFonts w:ascii="Cambria Math" w:hAnsi="Cambria Math" w:eastAsia="Cambria Math" w:cs="Cambria Math"/>
                <w:sz w:val="20"/>
                <w:szCs w:val="20"/>
              </w:rPr>
              <m:t>D</m:t>
            </m:r>
          </m:sub>
        </m:sSub>
      </m:oMath>
      <w:r>
        <w:rPr>
          <w:rFonts w:hint="eastAsia"/>
          <w:sz w:val="20"/>
          <w:szCs w:val="20"/>
        </w:rPr>
        <w:t>，有</w:t>
      </w:r>
    </w:p>
    <w:tbl>
      <w:tblPr>
        <w:tblStyle w:val="10"/>
        <w:tblW w:w="4866" w:type="dxa"/>
        <w:tblCaption w:val="Equation 26"/>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459854">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49059C5C">
            <w:pPr>
              <w:pStyle w:val="17"/>
              <w:numPr>
                <w:ilvl w:val="0"/>
                <w:numId w:val="0"/>
              </w:numPr>
              <w:snapToGrid w:val="0"/>
              <w:spacing w:before="100" w:after="100" w:line="240" w:lineRule="auto"/>
              <w:ind w:left="0" w:right="0" w:firstLine="0"/>
              <w:jc w:val="center"/>
              <w:rPr>
                <w:sz w:val="18"/>
              </w:rPr>
            </w:pPr>
            <m:oMathPara>
              <m:oMathParaPr>
                <m:jc m:val="center"/>
              </m:oMathParaPr>
              <m:oMath>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y</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z</m:t>
                    </m:r>
                  </m:e>
                  <m:sub>
                    <m:r>
                      <m:rPr>
                        <m:sty m:val="p"/>
                      </m:rPr>
                      <w:rPr>
                        <w:rFonts w:ascii="Cambria Math" w:hAnsi="Cambria Math" w:eastAsia="Cambria Math" w:cs="Cambria Math"/>
                        <w:sz w:val="18"/>
                        <w:szCs w:val="18"/>
                      </w:rPr>
                      <m:t>D</m:t>
                    </m:r>
                  </m:sub>
                </m:sSub>
                <m:sSup>
                  <m:sSupPr/>
                  <m:e>
                    <m:r>
                      <m:rPr>
                        <m:sty m:val="p"/>
                      </m:rPr>
                      <w:rPr>
                        <w:rFonts w:ascii="Cambria Math" w:hAnsi="Cambria Math" w:eastAsia="Cambria Math" w:cs="Cambria Math"/>
                        <w:sz w:val="18"/>
                        <w:szCs w:val="18"/>
                      </w:rPr>
                      <m:t>]</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v</m:t>
                </m:r>
                <m:sSub>
                  <m:sSubPr/>
                  <m:e>
                    <m:r>
                      <m:rPr/>
                      <w:rPr>
                        <w:rFonts w:ascii="Cambria Math" w:hAnsi="Cambria Math" w:eastAsia="Cambria Math" w:cs="Cambria Math"/>
                        <w:sz w:val="18"/>
                        <w:szCs w:val="18"/>
                      </w:rPr>
                      <m:t>x</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4203B930">
            <w:pPr>
              <w:numPr>
                <w:ilvl w:val="0"/>
                <w:numId w:val="0"/>
              </w:numPr>
              <w:snapToGrid w:val="0"/>
              <w:jc w:val="right"/>
              <w:rPr>
                <w:sz w:val="16"/>
              </w:rPr>
            </w:pPr>
            <w:r>
              <w:rPr>
                <w:sz w:val="16"/>
                <w:szCs w:val="16"/>
              </w:rPr>
              <w:t>(26)</w:t>
            </w:r>
          </w:p>
        </w:tc>
      </w:tr>
    </w:tbl>
    <w:p w14:paraId="415E9CFE">
      <w:pPr>
        <w:pStyle w:val="7"/>
        <w:numPr>
          <w:ilvl w:val="0"/>
          <w:numId w:val="0"/>
        </w:numPr>
        <w:snapToGrid w:val="0"/>
        <w:rPr>
          <w:sz w:val="20"/>
        </w:rPr>
      </w:pPr>
      <w:r>
        <w:rPr>
          <w:rFonts w:ascii="Times New Roman" w:hAnsi="Times New Roman" w:eastAsia="宋体"/>
          <w:sz w:val="20"/>
          <w:szCs w:val="20"/>
        </w:rPr>
        <w:t xml:space="preserve">记 </w:t>
      </w:r>
      <m:oMath>
        <m:sSub>
          <m:sSubPr/>
          <m:e>
            <m:r>
              <m:rPr>
                <m:sty m:val="bi"/>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1,yz</m:t>
            </m:r>
          </m:sub>
        </m:sSub>
        <m:r>
          <m:rPr>
            <m:sty m:val="p"/>
          </m:rPr>
          <w:rPr>
            <w:rFonts w:ascii="Cambria Math" w:hAnsi="Cambria Math" w:eastAsia="Cambria Math" w:cs="Cambria Math"/>
            <w:sz w:val="20"/>
            <w:szCs w:val="20"/>
          </w:rPr>
          <m:t>=</m:t>
        </m:r>
        <m:sSup>
          <m:sSupPr/>
          <m:e>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1z</m:t>
                </m:r>
              </m:sub>
            </m:sSub>
            <m:r>
              <m:rPr>
                <m:sty m:val="p"/>
              </m:rPr>
              <w:rPr>
                <w:rFonts w:ascii="Cambria Math" w:hAnsi="Cambria Math" w:eastAsia="Cambria Math" w:cs="Cambria Math"/>
                <w:sz w:val="20"/>
                <w:szCs w:val="20"/>
              </w:rPr>
              <m:t>]</m:t>
            </m:r>
          </m:e>
          <m:sup>
            <m:r>
              <m:rPr>
                <m:sty m:val="p"/>
              </m:rPr>
              <w:rPr>
                <w:rFonts w:ascii="Cambria Math" w:hAnsi="Cambria Math" w:eastAsia="Cambria Math" w:cs="Cambria Math"/>
                <w:sz w:val="20"/>
                <w:szCs w:val="20"/>
              </w:rPr>
              <m:t>T</m:t>
            </m:r>
          </m:sup>
        </m:sSup>
      </m:oMath>
      <w:r>
        <w:rPr>
          <w:rFonts w:ascii="Times New Roman" w:hAnsi="Times New Roman" w:eastAsia="宋体"/>
          <w:sz w:val="20"/>
          <w:szCs w:val="20"/>
        </w:rPr>
        <w:t xml:space="preserve">，代回第一球面，得到 </w:t>
      </w:r>
      <m:oMath>
        <m:sSub>
          <m:sSubPr/>
          <m:e>
            <m:r>
              <m:rPr/>
              <w:rPr>
                <w:rFonts w:ascii="Cambria Math" w:hAnsi="Cambria Math" w:eastAsia="Cambria Math" w:cs="Cambria Math"/>
                <w:sz w:val="20"/>
                <w:szCs w:val="20"/>
              </w:rPr>
              <m:t>A</m:t>
            </m:r>
          </m:e>
          <m:sub>
            <m:r>
              <m:rPr>
                <m:sty m:val="p"/>
              </m:rPr>
              <w:rPr>
                <w:rFonts w:ascii="Cambria Math" w:hAnsi="Cambria Math" w:eastAsia="Cambria Math" w:cs="Cambria Math"/>
                <w:sz w:val="20"/>
                <w:szCs w:val="20"/>
              </w:rPr>
              <m:t>D</m:t>
            </m:r>
          </m:sub>
        </m:sSub>
        <m:sSubSup>
          <m:sSubSup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up>
            <m:r>
              <m:rPr/>
              <w:rPr>
                <w:rFonts w:ascii="Cambria Math" w:hAnsi="Cambria Math" w:eastAsia="Cambria Math" w:cs="Cambria Math"/>
                <w:sz w:val="20"/>
                <w:szCs w:val="20"/>
              </w:rPr>
              <m:t>2</m:t>
            </m:r>
          </m:sup>
        </m:sSubSup>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B</m:t>
            </m:r>
          </m:e>
          <m:sub>
            <m:r>
              <m:rPr>
                <m:sty m:val="p"/>
              </m:rPr>
              <w:rPr>
                <w:rFonts w:ascii="Cambria Math" w:hAnsi="Cambria Math" w:eastAsia="Cambria Math" w:cs="Cambria Math"/>
                <w:sz w:val="20"/>
                <w:szCs w:val="20"/>
              </w:rPr>
              <m:t>D</m:t>
            </m:r>
          </m:sub>
        </m:sSub>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C</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r>
          <m:rPr/>
          <w:rPr>
            <w:rFonts w:ascii="Cambria Math" w:hAnsi="Cambria Math" w:eastAsia="Cambria Math" w:cs="Cambria Math"/>
            <w:sz w:val="20"/>
            <w:szCs w:val="20"/>
          </w:rPr>
          <m:t>0</m:t>
        </m:r>
      </m:oMath>
      <w:r>
        <w:rPr>
          <w:rFonts w:ascii="Times New Roman" w:hAnsi="Times New Roman" w:eastAsia="宋体"/>
          <w:sz w:val="20"/>
          <w:szCs w:val="20"/>
        </w:rPr>
        <w:t>，其中</w:t>
      </w:r>
    </w:p>
    <w:tbl>
      <w:tblPr>
        <w:tblStyle w:val="10"/>
        <w:tblW w:w="4866" w:type="dxa"/>
        <w:tblCaption w:val="Equation 27"/>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2AAB8EC3">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E35388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w:rPr>
                            <w:rFonts w:ascii="Cambria Math" w:hAnsi="Cambria Math" w:eastAsia="Cambria Math" w:cs="Cambria Math"/>
                            <w:sz w:val="18"/>
                            <w:szCs w:val="18"/>
                          </w:rPr>
                          <m:t>A</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bi"/>
                      </m:rPr>
                      <w:rPr>
                        <w:rFonts w:ascii="Cambria Math" w:hAnsi="Cambria Math" w:eastAsia="Cambria Math" w:cs="Cambria Math"/>
                        <w:sz w:val="18"/>
                        <w:szCs w:val="18"/>
                      </w:rPr>
                      <m:t>v</m:t>
                    </m:r>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B</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w:rPr>
                        <w:rFonts w:ascii="Cambria Math" w:hAnsi="Cambria Math" w:eastAsia="Cambria Math" w:cs="Cambria Math"/>
                        <w:sz w:val="18"/>
                        <w:szCs w:val="18"/>
                      </w:rPr>
                      <m:t>2</m:t>
                    </m:r>
                    <m:d>
                      <m:dPr>
                        <m:begChr m:val="["/>
                        <m:sepChr m:val=""/>
                        <m:endChr m:val="]"/>
                      </m:dPr>
                      <m:e>
                        <m:sSup>
                          <m:sSupPr/>
                          <m:e>
                            <m:r>
                              <m:rPr>
                                <m:sty m:val="bi"/>
                              </m:rPr>
                              <w:rPr>
                                <w:rFonts w:ascii="Cambria Math" w:hAnsi="Cambria Math" w:eastAsia="Cambria Math" w:cs="Cambria Math"/>
                                <w:sz w:val="18"/>
                                <w:szCs w:val="18"/>
                              </w:rPr>
                              <m:t>v</m:t>
                            </m:r>
                          </m:e>
                          <m:sup>
                            <m:r>
                              <m:rPr>
                                <m:sty m:val="p"/>
                              </m:rPr>
                              <w:rPr>
                                <w:rFonts w:ascii="Cambria Math" w:hAnsi="Cambria Math" w:eastAsia="Cambria Math" w:cs="Cambria Math"/>
                                <w:sz w:val="18"/>
                                <w:szCs w:val="18"/>
                              </w:rPr>
                              <m:t>T</m:t>
                            </m:r>
                          </m:sup>
                        </m:sSup>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r>
                          <m:rPr>
                            <m:sty m:val="p"/>
                          </m:rPr>
                          <w:rPr>
                            <w:rFonts w:ascii="Cambria Math" w:hAnsi="Cambria Math" w:eastAsia="Cambria Math" w:cs="Cambria Math"/>
                            <w:sz w:val="18"/>
                            <w:szCs w:val="18"/>
                          </w:rPr>
                          <m:t>)−</m:t>
                        </m:r>
                        <m:sSub>
                          <m:sSub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Sub>
                      </m:e>
                    </m:d>
                    <m:r>
                      <m:rPr>
                        <m:sty m:val="p"/>
                      </m:rPr>
                      <w:rPr>
                        <w:rFonts w:ascii="Cambria Math" w:hAnsi="Cambria Math" w:eastAsia="Cambria Math" w:cs="Cambria Math"/>
                        <w:sz w:val="18"/>
                        <w:szCs w:val="18"/>
                      </w:rPr>
                      <m:t>,</m:t>
                    </m:r>
                  </m:e>
                  <m:e>
                    <m:sSub>
                      <m:sSubPr/>
                      <m:e>
                        <m:r>
                          <m:rPr/>
                          <w:rPr>
                            <w:rFonts w:ascii="Cambria Math" w:hAnsi="Cambria Math" w:eastAsia="Cambria Math" w:cs="Cambria Math"/>
                            <w:sz w:val="18"/>
                            <w:szCs w:val="18"/>
                          </w:rPr>
                          <m:t>C</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r>
                      <m:rPr>
                        <m:sty m:val="bi"/>
                      </m:rPr>
                      <w:rPr>
                        <w:rFonts w:ascii="Cambria Math" w:hAnsi="Cambria Math" w:eastAsia="Cambria Math" w:cs="Cambria Math"/>
                        <w:sz w:val="18"/>
                        <w:szCs w:val="18"/>
                      </w:rPr>
                      <m:t>u</m:t>
                    </m:r>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c</m:t>
                        </m:r>
                      </m:e>
                      <m:sub>
                        <m:r>
                          <m:rPr/>
                          <w:rPr>
                            <w:rFonts w:ascii="Cambria Math" w:hAnsi="Cambria Math" w:eastAsia="Cambria Math" w:cs="Cambria Math"/>
                            <w:sz w:val="18"/>
                            <w:szCs w:val="18"/>
                          </w:rPr>
                          <m:t>1</m:t>
                        </m:r>
                        <m:r>
                          <m:rPr>
                            <m:sty m:val="p"/>
                          </m:rPr>
                          <w:rPr>
                            <w:rFonts w:ascii="Cambria Math" w:hAnsi="Cambria Math" w:eastAsia="Cambria Math" w:cs="Cambria Math"/>
                            <w:sz w:val="18"/>
                            <w:szCs w:val="18"/>
                          </w:rPr>
                          <m:t>,</m:t>
                        </m:r>
                        <m:r>
                          <m:rPr/>
                          <w:rPr>
                            <w:rFonts w:ascii="Cambria Math" w:hAnsi="Cambria Math" w:eastAsia="Cambria Math" w:cs="Cambria Math"/>
                            <w:sz w:val="18"/>
                            <w:szCs w:val="18"/>
                          </w:rPr>
                          <m:t>yz</m:t>
                        </m:r>
                      </m:sub>
                    </m:sSub>
                    <m:sSup>
                      <m:sSupPr/>
                      <m:e>
                        <m:r>
                          <m:rPr>
                            <m:sty m:val="p"/>
                          </m:rPr>
                          <w:rPr>
                            <w:rFonts w:ascii="Cambria Math" w:hAnsi="Cambria Math" w:eastAsia="Cambria Math" w:cs="Cambria Math"/>
                            <w:sz w:val="18"/>
                            <w:szCs w:val="18"/>
                          </w:rPr>
                          <m:t>∥</m:t>
                        </m:r>
                      </m:e>
                      <m:sup>
                        <m:r>
                          <m:rPr/>
                          <w:rPr>
                            <w:rFonts w:ascii="Cambria Math" w:hAnsi="Cambria Math" w:eastAsia="Cambria Math" w:cs="Cambria Math"/>
                            <w:sz w:val="18"/>
                            <w:szCs w:val="18"/>
                          </w:rPr>
                          <m:t>2</m:t>
                        </m:r>
                      </m:sup>
                    </m:s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c</m:t>
                        </m:r>
                      </m:e>
                      <m:sub>
                        <m:r>
                          <m:rPr/>
                          <w:rPr>
                            <w:rFonts w:ascii="Cambria Math" w:hAnsi="Cambria Math" w:eastAsia="Cambria Math" w:cs="Cambria Math"/>
                            <w:sz w:val="18"/>
                            <w:szCs w:val="18"/>
                          </w:rPr>
                          <m:t>1x</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sSubSup>
                      <m:sSubSupPr/>
                      <m:e>
                        <m:r>
                          <m:rPr/>
                          <w:rPr>
                            <w:rFonts w:ascii="Cambria Math" w:hAnsi="Cambria Math" w:eastAsia="Cambria Math" w:cs="Cambria Math"/>
                            <w:sz w:val="18"/>
                            <w:szCs w:val="18"/>
                          </w:rPr>
                          <m:t>L</m:t>
                        </m:r>
                      </m:e>
                      <m:sub>
                        <m:r>
                          <m:rPr>
                            <m:sty m:val="p"/>
                          </m:rPr>
                          <w:rPr>
                            <w:rFonts w:ascii="Cambria Math" w:hAnsi="Cambria Math" w:eastAsia="Cambria Math" w:cs="Cambria Math"/>
                            <w:sz w:val="18"/>
                            <w:szCs w:val="18"/>
                          </w:rPr>
                          <m:t>P</m:t>
                        </m:r>
                      </m:sub>
                      <m:sup>
                        <m:r>
                          <m:rPr/>
                          <w:rPr>
                            <w:rFonts w:ascii="Cambria Math" w:hAnsi="Cambria Math" w:eastAsia="Cambria Math" w:cs="Cambria Math"/>
                            <w:sz w:val="18"/>
                            <w:szCs w:val="18"/>
                          </w:rPr>
                          <m:t>2</m:t>
                        </m:r>
                      </m:sup>
                    </m:sSubSup>
                    <m:r>
                      <m:rPr>
                        <m:sty m:val="p"/>
                      </m:rPr>
                      <w:rPr>
                        <w:rFonts w:ascii="Cambria Math" w:hAnsi="Cambria Math" w:eastAsia="Cambria Math" w:cs="Cambria Math"/>
                        <w:sz w:val="18"/>
                        <w:szCs w:val="18"/>
                      </w:rPr>
                      <m:t>.</m:t>
                    </m:r>
                  </m:e>
                </m:eqArr>
              </m:oMath>
            </m:oMathPara>
          </w:p>
        </w:tc>
        <w:tc>
          <w:tcPr>
            <w:tcW w:w="390" w:type="dxa"/>
            <w:vAlign w:val="center"/>
          </w:tcPr>
          <w:p w14:paraId="6F8144C3">
            <w:pPr>
              <w:numPr>
                <w:ilvl w:val="0"/>
                <w:numId w:val="0"/>
              </w:numPr>
              <w:snapToGrid w:val="0"/>
              <w:jc w:val="right"/>
              <w:rPr>
                <w:sz w:val="16"/>
              </w:rPr>
            </w:pPr>
            <w:r>
              <w:rPr>
                <w:sz w:val="16"/>
                <w:szCs w:val="16"/>
              </w:rPr>
              <w:t>(27)</w:t>
            </w:r>
          </w:p>
        </w:tc>
      </w:tr>
    </w:tbl>
    <w:p w14:paraId="2BB35DD4">
      <w:pPr>
        <w:pStyle w:val="7"/>
        <w:numPr>
          <w:ilvl w:val="0"/>
          <w:numId w:val="0"/>
        </w:numPr>
        <w:snapToGrid w:val="0"/>
        <w:rPr>
          <w:rFonts w:hint="eastAsia"/>
          <w:sz w:val="20"/>
          <w:szCs w:val="20"/>
        </w:rPr>
      </w:pPr>
      <w:r>
        <w:rPr>
          <w:rFonts w:hint="eastAsia"/>
          <w:sz w:val="20"/>
          <w:szCs w:val="20"/>
          <w:lang w:val="en-US" w:eastAsia="zh-CN"/>
        </w:rPr>
        <w:t>随后</w:t>
      </w:r>
      <w:r>
        <w:rPr>
          <w:rFonts w:hint="eastAsia"/>
          <w:sz w:val="20"/>
          <w:szCs w:val="20"/>
          <w:lang w:eastAsia="zh-CN"/>
        </w:rPr>
        <w:t>从二次方程候选根中</w:t>
      </w:r>
      <w:r>
        <w:rPr>
          <w:rFonts w:hint="eastAsia"/>
          <w:sz w:val="20"/>
          <w:szCs w:val="20"/>
        </w:rPr>
        <w:t>选择</w:t>
      </w:r>
      <w:r>
        <w:rPr>
          <w:rFonts w:hint="eastAsia"/>
          <w:sz w:val="20"/>
          <w:szCs w:val="20"/>
          <w:lang w:val="en-US" w:eastAsia="zh-CN"/>
        </w:rPr>
        <w:t>得到</w:t>
      </w:r>
      <w:r>
        <w:rPr>
          <w:rFonts w:hint="eastAsia"/>
          <w:sz w:val="20"/>
          <w:szCs w:val="20"/>
        </w:rPr>
        <w:t>满足工作侧和连续性条件的根。</w:t>
      </w:r>
    </w:p>
    <w:bookmarkEnd w:id="12"/>
    <w:p w14:paraId="01EF466D">
      <w:pPr>
        <w:pStyle w:val="4"/>
        <w:numPr>
          <w:ilvl w:val="2"/>
          <w:numId w:val="0"/>
        </w:numPr>
        <w:snapToGrid w:val="0"/>
      </w:pPr>
      <w:bookmarkStart w:id="13" w:name="雅可比与力矩前馈"/>
      <w:r>
        <w:t xml:space="preserve">3) </w:t>
      </w:r>
      <w:r>
        <w:rPr>
          <w:rFonts w:hint="eastAsia"/>
        </w:rPr>
        <w:t>雅可比与力矩前馈</w:t>
      </w:r>
    </w:p>
    <w:p w14:paraId="79ABCD24">
      <w:pPr>
        <w:pStyle w:val="7"/>
        <w:numPr>
          <w:ilvl w:val="0"/>
          <w:numId w:val="0"/>
        </w:numPr>
        <w:snapToGrid w:val="0"/>
        <w:rPr>
          <w:rFonts w:hint="default" w:eastAsia="宋体"/>
          <w:sz w:val="20"/>
          <w:szCs w:val="20"/>
          <w:lang w:val="en-US" w:eastAsia="zh-CN"/>
        </w:rPr>
      </w:pPr>
      <w:r>
        <w:rPr>
          <w:rFonts w:hint="eastAsia"/>
          <w:sz w:val="20"/>
          <w:szCs w:val="20"/>
          <w:lang w:eastAsia="zh-CN"/>
        </w:rPr>
        <w:t>为降低操作员的手部施力负担并改善操作精度，遥操作控制器通过 Delta 机构的三个主动关节施加前馈力矩，补偿机构自重的部分影响。</w:t>
      </w:r>
    </w:p>
    <w:p w14:paraId="519C5055">
      <w:pPr>
        <w:pStyle w:val="7"/>
        <w:numPr>
          <w:ilvl w:val="0"/>
          <w:numId w:val="0"/>
        </w:numPr>
        <w:snapToGrid w:val="0"/>
        <w:rPr>
          <w:sz w:val="20"/>
        </w:rPr>
      </w:pPr>
      <w:r>
        <w:rPr>
          <w:rFonts w:hint="eastAsia"/>
          <w:sz w:val="20"/>
          <w:szCs w:val="20"/>
        </w:rPr>
        <w:t xml:space="preserve">记三主动关节角组成的向量为 </w:t>
      </w:r>
      <m:oMath>
        <m:sSub>
          <m:sSubPr/>
          <m:e>
            <m:r>
              <m:rPr>
                <m:sty m:val="bi"/>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D</m:t>
            </m:r>
          </m:sub>
        </m:sSub>
      </m:oMath>
      <w:r>
        <w:rPr>
          <w:rFonts w:hint="eastAsia"/>
          <w:sz w:val="20"/>
          <w:szCs w:val="20"/>
        </w:rPr>
        <w:t>。在非奇异工作区域，动平台位置对关节角的雅可比矩阵及速度关系为</w:t>
      </w:r>
    </w:p>
    <w:tbl>
      <w:tblPr>
        <w:tblStyle w:val="10"/>
        <w:tblW w:w="4866" w:type="dxa"/>
        <w:tblCaption w:val="Equation 28"/>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7C7DD6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DC688F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f>
                  <m:fPr/>
                  <m:num>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num>
                  <m:den>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D</m:t>
                        </m:r>
                      </m:sub>
                    </m:sSub>
                  </m:den>
                </m:f>
                <m:r>
                  <m:rPr>
                    <m:sty m:val="p"/>
                  </m:rPr>
                  <w:rPr>
                    <w:rFonts w:ascii="Cambria Math" w:hAnsi="Cambria Math" w:eastAsia="Cambria Math" w:cs="Cambria Math"/>
                    <w:sz w:val="18"/>
                    <w:szCs w:val="18"/>
                  </w:rPr>
                  <m:t>, </m:t>
                </m:r>
                <m:sSub>
                  <m:sSubPr/>
                  <m:e>
                    <m:acc>
                      <m:accPr>
                        <m:chr m:val="̇"/>
                      </m:accPr>
                      <m:e>
                        <m:r>
                          <m:rPr>
                            <m:sty m:val="bi"/>
                          </m:rPr>
                          <w:rPr>
                            <w:rFonts w:ascii="Cambria Math" w:hAnsi="Cambria Math" w:eastAsia="Cambria Math" w:cs="Cambria Math"/>
                            <w:sz w:val="18"/>
                            <w:szCs w:val="18"/>
                          </w:rPr>
                          <m:t>p</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Sub>
                <m:sSub>
                  <m:sSubPr/>
                  <m:e>
                    <m:acc>
                      <m:accPr>
                        <m:chr m:val="̇"/>
                      </m:accPr>
                      <m:e>
                        <m:r>
                          <m:rPr>
                            <m:sty m:val="bi"/>
                          </m:rPr>
                          <w:rPr>
                            <w:rFonts w:ascii="Cambria Math" w:hAnsi="Cambria Math" w:eastAsia="Cambria Math" w:cs="Cambria Math"/>
                            <w:sz w:val="18"/>
                            <w:szCs w:val="18"/>
                          </w:rPr>
                          <m:t>θ</m:t>
                        </m:r>
                      </m:e>
                    </m:acc>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38FE593A">
            <w:pPr>
              <w:numPr>
                <w:ilvl w:val="0"/>
                <w:numId w:val="0"/>
              </w:numPr>
              <w:snapToGrid w:val="0"/>
              <w:jc w:val="right"/>
              <w:rPr>
                <w:sz w:val="16"/>
              </w:rPr>
            </w:pPr>
            <w:r>
              <w:rPr>
                <w:sz w:val="16"/>
                <w:szCs w:val="16"/>
              </w:rPr>
              <w:t>(28)</w:t>
            </w:r>
          </w:p>
        </w:tc>
      </w:tr>
    </w:tbl>
    <w:p w14:paraId="75055430">
      <w:pPr>
        <w:pStyle w:val="7"/>
        <w:numPr>
          <w:ilvl w:val="0"/>
          <w:numId w:val="0"/>
        </w:numPr>
        <w:snapToGrid w:val="0"/>
        <w:rPr>
          <w:sz w:val="20"/>
        </w:rPr>
      </w:pPr>
      <w:r>
        <w:rPr>
          <w:rFonts w:hint="eastAsia"/>
          <w:sz w:val="20"/>
          <w:szCs w:val="20"/>
        </w:rPr>
        <w:t xml:space="preserve">由虚功原理，动平台的期望支撑力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oMath>
      <w:r>
        <w:rPr>
          <w:rFonts w:hint="eastAsia"/>
          <w:sz w:val="20"/>
          <w:szCs w:val="20"/>
        </w:rPr>
        <w:t xml:space="preserve"> 对应的电机前馈力矩为</w:t>
      </w:r>
    </w:p>
    <w:tbl>
      <w:tblPr>
        <w:tblStyle w:val="10"/>
        <w:tblW w:w="4866" w:type="dxa"/>
        <w:tblCaption w:val="Equation 29"/>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96780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3B54BDF">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i"/>
                      </m:rPr>
                      <w:rPr>
                        <w:rFonts w:ascii="Cambria Math" w:hAnsi="Cambria Math" w:eastAsia="Cambria Math" w:cs="Cambria Math"/>
                        <w:sz w:val="18"/>
                        <w:szCs w:val="18"/>
                      </w:rPr>
                      <m:t>τ</m:t>
                    </m:r>
                  </m:e>
                  <m:sub>
                    <m:r>
                      <m:rPr>
                        <m:sty m:val="p"/>
                      </m:rPr>
                      <w:rPr>
                        <w:rFonts w:ascii="Cambria Math" w:hAnsi="Cambria Math" w:eastAsia="Cambria Math" w:cs="Cambria Math"/>
                        <w:sz w:val="18"/>
                        <w:szCs w:val="18"/>
                      </w:rPr>
                      <m:t>D,ff</m:t>
                    </m:r>
                  </m:sub>
                </m:sSub>
                <m:r>
                  <m:rPr>
                    <m:sty m:val="p"/>
                  </m:rPr>
                  <w:rPr>
                    <w:rFonts w:ascii="Cambria Math" w:hAnsi="Cambria Math" w:eastAsia="Cambria Math" w:cs="Cambria Math"/>
                    <w:sz w:val="18"/>
                    <w:szCs w:val="18"/>
                  </w:rPr>
                  <m:t>=</m:t>
                </m:r>
                <m:sSubSup>
                  <m:sSubSupPr/>
                  <m:e>
                    <m:r>
                      <m:rPr>
                        <m:sty m:val="b"/>
                      </m:rPr>
                      <w:rPr>
                        <w:rFonts w:ascii="Cambria Math" w:hAnsi="Cambria Math" w:eastAsia="Cambria Math" w:cs="Cambria Math"/>
                        <w:sz w:val="18"/>
                        <w:szCs w:val="18"/>
                      </w:rPr>
                      <m:t>J</m:t>
                    </m:r>
                  </m:e>
                  <m:sub>
                    <m:r>
                      <m:rPr>
                        <m:sty m:val="p"/>
                      </m:rPr>
                      <w:rPr>
                        <w:rFonts w:ascii="Cambria Math" w:hAnsi="Cambria Math" w:eastAsia="Cambria Math" w:cs="Cambria Math"/>
                        <w:sz w:val="18"/>
                        <w:szCs w:val="18"/>
                      </w:rPr>
                      <m:t>D</m:t>
                    </m:r>
                  </m:sub>
                  <m:sup>
                    <m:r>
                      <m:rPr>
                        <m:sty m:val="p"/>
                      </m:rPr>
                      <w:rPr>
                        <w:rFonts w:ascii="Cambria Math" w:hAnsi="Cambria Math" w:eastAsia="Cambria Math" w:cs="Cambria Math"/>
                        <w:sz w:val="18"/>
                        <w:szCs w:val="18"/>
                      </w:rPr>
                      <m:t>T</m:t>
                    </m:r>
                  </m:sup>
                </m:sSubSup>
                <m:sSub>
                  <m:sSubPr/>
                  <m:e>
                    <m:r>
                      <m:rPr>
                        <m:sty m:val="bi"/>
                      </m:rPr>
                      <w:rPr>
                        <w:rFonts w:ascii="Cambria Math" w:hAnsi="Cambria Math" w:eastAsia="Cambria Math" w:cs="Cambria Math"/>
                        <w:sz w:val="18"/>
                        <w:szCs w:val="18"/>
                      </w:rPr>
                      <m:t>f</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oMath>
            </m:oMathPara>
          </w:p>
        </w:tc>
        <w:tc>
          <w:tcPr>
            <w:tcW w:w="390" w:type="dxa"/>
            <w:vAlign w:val="center"/>
          </w:tcPr>
          <w:p w14:paraId="5A24F6C7">
            <w:pPr>
              <w:numPr>
                <w:ilvl w:val="0"/>
                <w:numId w:val="0"/>
              </w:numPr>
              <w:snapToGrid w:val="0"/>
              <w:jc w:val="right"/>
              <w:rPr>
                <w:sz w:val="16"/>
              </w:rPr>
            </w:pPr>
            <w:r>
              <w:rPr>
                <w:sz w:val="16"/>
                <w:szCs w:val="16"/>
              </w:rPr>
              <w:t>(29)</w:t>
            </w:r>
          </w:p>
        </w:tc>
      </w:tr>
    </w:tbl>
    <w:p w14:paraId="23750A0F">
      <w:pPr>
        <w:pStyle w:val="7"/>
        <w:numPr>
          <w:ilvl w:val="0"/>
          <w:numId w:val="0"/>
        </w:numPr>
        <w:snapToGrid w:val="0"/>
        <w:rPr>
          <w:rFonts w:hint="eastAsia" w:eastAsia="宋体"/>
          <w:sz w:val="20"/>
          <w:lang w:eastAsia="zh-CN"/>
        </w:rPr>
      </w:pPr>
      <w:r>
        <w:rPr>
          <w:rFonts w:hint="eastAsia"/>
          <w:sz w:val="20"/>
          <w:szCs w:val="20"/>
        </w:rPr>
        <w:t xml:space="preserve">重力补偿取 </w:t>
      </w:r>
      <m:oMath>
        <m:sSub>
          <m:sSubPr/>
          <m:e>
            <m:r>
              <m:rPr>
                <m:sty m:val="bi"/>
              </m:rPr>
              <w:rPr>
                <w:rFonts w:ascii="Cambria Math" w:hAnsi="Cambria Math" w:eastAsia="Cambria Math" w:cs="Cambria Math"/>
                <w:sz w:val="20"/>
                <w:szCs w:val="20"/>
              </w:rPr>
              <m:t>f</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r>
          <m:rPr>
            <m:sty m:val="bi"/>
          </m:rPr>
          <w:rPr>
            <w:rFonts w:ascii="Cambria Math" w:hAnsi="Cambria Math" w:eastAsia="Cambria Math" w:cs="Cambria Math"/>
            <w:sz w:val="20"/>
            <w:szCs w:val="20"/>
          </w:rPr>
          <m:t>g</m:t>
        </m:r>
      </m:oMath>
      <w:r>
        <w:rPr>
          <w:rFonts w:hint="eastAsia"/>
          <w:sz w:val="20"/>
          <w:szCs w:val="20"/>
        </w:rPr>
        <w:t xml:space="preserve">，其中 </w:t>
      </w:r>
      <m:oMath>
        <m:sSub>
          <m:sSubPr/>
          <m:e>
            <m:r>
              <m:rPr/>
              <w:rPr>
                <w:rFonts w:ascii="Cambria Math" w:hAnsi="Cambria Math" w:eastAsia="Cambria Math" w:cs="Cambria Math"/>
                <w:sz w:val="20"/>
                <w:szCs w:val="20"/>
              </w:rPr>
              <m:t>m</m:t>
            </m:r>
          </m:e>
          <m:sub>
            <m:r>
              <m:rPr>
                <m:sty m:val="p"/>
              </m:rPr>
              <w:rPr>
                <w:rFonts w:ascii="Cambria Math" w:hAnsi="Cambria Math" w:eastAsia="Cambria Math" w:cs="Cambria Math"/>
                <w:sz w:val="20"/>
                <w:szCs w:val="20"/>
              </w:rPr>
              <m:t>D</m:t>
            </m:r>
          </m:sub>
        </m:sSub>
      </m:oMath>
      <w:r>
        <w:rPr>
          <w:rFonts w:hint="eastAsia"/>
          <w:sz w:val="20"/>
          <w:szCs w:val="20"/>
        </w:rPr>
        <w:t xml:space="preserve"> 为动平台与手柄的等效质量，</w:t>
      </w:r>
      <m:oMath>
        <m:r>
          <m:rPr>
            <m:sty m:val="bi"/>
          </m:rPr>
          <w:rPr>
            <w:rFonts w:ascii="Cambria Math" w:hAnsi="Cambria Math" w:eastAsia="Cambria Math" w:cs="Cambria Math"/>
            <w:sz w:val="20"/>
            <w:szCs w:val="20"/>
          </w:rPr>
          <m:t>g</m:t>
        </m:r>
      </m:oMath>
      <w:r>
        <w:rPr>
          <w:rFonts w:hint="eastAsia"/>
          <w:sz w:val="20"/>
          <w:szCs w:val="20"/>
        </w:rPr>
        <w:t xml:space="preserve"> 为基座坐标系 {D} 下的重力加速度向量</w:t>
      </w:r>
      <w:r>
        <w:rPr>
          <w:rFonts w:hint="eastAsia"/>
          <w:sz w:val="20"/>
          <w:szCs w:val="20"/>
          <w:lang w:eastAsia="zh-CN"/>
        </w:rPr>
        <w:t>。</w:t>
      </w:r>
    </w:p>
    <w:bookmarkEnd w:id="13"/>
    <w:p w14:paraId="4E78815B">
      <w:pPr>
        <w:pStyle w:val="4"/>
        <w:numPr>
          <w:ilvl w:val="2"/>
          <w:numId w:val="0"/>
        </w:numPr>
        <w:snapToGrid w:val="0"/>
      </w:pPr>
      <w:bookmarkStart w:id="14" w:name="位姿映射与关节指令"/>
      <w:r>
        <w:t xml:space="preserve">4) </w:t>
      </w:r>
      <w:r>
        <w:rPr>
          <w:rFonts w:hint="eastAsia"/>
        </w:rPr>
        <w:t>位姿映射与关节指令</w:t>
      </w:r>
    </w:p>
    <w:p w14:paraId="0CF8E7EC">
      <w:pPr>
        <w:pStyle w:val="7"/>
        <w:numPr>
          <w:ilvl w:val="0"/>
          <w:numId w:val="0"/>
        </w:numPr>
        <w:snapToGrid w:val="0"/>
        <w:rPr>
          <w:sz w:val="20"/>
        </w:rPr>
      </w:pPr>
      <w:r>
        <w:rPr>
          <w:rFonts w:hint="eastAsia"/>
          <w:sz w:val="20"/>
          <w:szCs w:val="20"/>
        </w:rPr>
        <w:t xml:space="preserve">主端的位置输入取 Delta 动平台中心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p>
          <m:sSupPr/>
          <m:e>
            <m:d>
              <m:dPr>
                <m:begChr m:val="["/>
                <m:endChr m:val="]"/>
              </m:dPr>
              <m:e>
                <m:sSub>
                  <m:sSubPr/>
                  <m:e>
                    <m:r>
                      <m:rPr/>
                      <w:rPr>
                        <w:rFonts w:ascii="Cambria Math" w:hAnsi="Cambria Math" w:eastAsia="Cambria Math" w:cs="Cambria Math"/>
                        <w:sz w:val="20"/>
                        <w:szCs w:val="20"/>
                      </w:rPr>
                      <m:t>x</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y</m:t>
                    </m:r>
                  </m:e>
                  <m:sub>
                    <m:r>
                      <m:rPr>
                        <m:sty m:val="p"/>
                      </m:rPr>
                      <w:rPr>
                        <w:rFonts w:ascii="Cambria Math" w:hAnsi="Cambria Math" w:eastAsia="Cambria Math" w:cs="Cambria Math"/>
                        <w:sz w:val="20"/>
                        <w:szCs w:val="20"/>
                      </w:rPr>
                      <m:t>D</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z</m:t>
                    </m:r>
                  </m:e>
                  <m:sub>
                    <m:r>
                      <m:rPr>
                        <m:sty m:val="p"/>
                      </m:rPr>
                      <w:rPr>
                        <w:rFonts w:ascii="Cambria Math" w:hAnsi="Cambria Math" w:eastAsia="Cambria Math" w:cs="Cambria Math"/>
                        <w:sz w:val="20"/>
                        <w:szCs w:val="20"/>
                      </w:rPr>
                      <m:t>D</m:t>
                    </m:r>
                  </m:sub>
                </m:sSub>
              </m:e>
            </m:d>
          </m:e>
          <m:sup>
            <m:r>
              <m:rPr>
                <m:sty m:val="p"/>
              </m:rPr>
              <w:rPr>
                <w:rFonts w:ascii="Cambria Math" w:hAnsi="Cambria Math" w:eastAsia="Cambria Math" w:cs="Cambria Math"/>
                <w:sz w:val="20"/>
                <w:szCs w:val="20"/>
              </w:rPr>
              <m:t>T</m:t>
            </m:r>
          </m:sup>
        </m:sSup>
      </m:oMath>
      <w:r>
        <w:rPr>
          <w:rFonts w:hint="eastAsia"/>
          <w:sz w:val="20"/>
          <w:szCs w:val="20"/>
        </w:rPr>
        <w:t xml:space="preserve">。手柄采用动轴 X–Y–Z 欧拉角：从 j1 到 j3 依次为滚转（roll）、俯仰（pitch）、偏航（yaw），经编码器零位与正向标定后分别记为 </w:t>
      </w:r>
      <m:oMath>
        <m:d>
          <m:dPr/>
          <m:e>
            <m:sSub>
              <m:sSubPr/>
              <m:e>
                <m:r>
                  <m:rPr/>
                  <w:rPr>
                    <w:rFonts w:ascii="Cambria Math" w:hAnsi="Cambria Math" w:eastAsia="Cambria Math" w:cs="Cambria Math"/>
                    <w:sz w:val="20"/>
                    <w:szCs w:val="20"/>
                  </w:rPr>
                  <m:t>ϕ</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θ</m:t>
                </m:r>
              </m:e>
              <m:sub>
                <m:r>
                  <m:rPr>
                    <m:sty m:val="p"/>
                  </m:rPr>
                  <w:rPr>
                    <w:rFonts w:ascii="Cambria Math" w:hAnsi="Cambria Math" w:eastAsia="Cambria Math" w:cs="Cambria Math"/>
                    <w:sz w:val="20"/>
                    <w:szCs w:val="20"/>
                  </w:rPr>
                  <m:t>h</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ψ</m:t>
                </m:r>
              </m:e>
              <m:sub>
                <m:r>
                  <m:rPr>
                    <m:sty m:val="p"/>
                  </m:rPr>
                  <w:rPr>
                    <w:rFonts w:ascii="Cambria Math" w:hAnsi="Cambria Math" w:eastAsia="Cambria Math" w:cs="Cambria Math"/>
                    <w:sz w:val="20"/>
                    <w:szCs w:val="20"/>
                  </w:rPr>
                  <m:t>h</m:t>
                </m:r>
              </m:sub>
            </m:sSub>
          </m:e>
        </m:d>
      </m:oMath>
      <w:r>
        <w:rPr>
          <w:rFonts w:hint="eastAsia"/>
          <w:sz w:val="20"/>
          <w:szCs w:val="20"/>
        </w:rPr>
        <w:t>，单位为弧度。主端旋转矩阵及位姿输入的齐次矩阵为</w:t>
      </w:r>
    </w:p>
    <w:tbl>
      <w:tblPr>
        <w:tblStyle w:val="10"/>
        <w:tblW w:w="4866" w:type="dxa"/>
        <w:tblCaption w:val="Equation 30"/>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403EF2A8">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61CA9263">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h,0</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x</m:t>
                        </m:r>
                      </m:sub>
                    </m:sSub>
                    <m:d>
                      <m:dPr/>
                      <m:e>
                        <m:sSub>
                          <m:sSubPr/>
                          <m:e>
                            <m:r>
                              <m:rPr/>
                              <w:rPr>
                                <w:rFonts w:ascii="Cambria Math" w:hAnsi="Cambria Math" w:eastAsia="Cambria Math" w:cs="Cambria Math"/>
                                <w:sz w:val="18"/>
                                <w:szCs w:val="18"/>
                              </w:rPr>
                              <m:t>ϕ</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y</m:t>
                        </m:r>
                      </m:sub>
                    </m:sSub>
                    <m:d>
                      <m:dPr/>
                      <m:e>
                        <m:sSub>
                          <m:sSubPr/>
                          <m:e>
                            <m:r>
                              <m:rPr/>
                              <w:rPr>
                                <w:rFonts w:ascii="Cambria Math" w:hAnsi="Cambria Math" w:eastAsia="Cambria Math" w:cs="Cambria Math"/>
                                <w:sz w:val="18"/>
                                <w:szCs w:val="18"/>
                              </w:rPr>
                              <m:t>θ</m:t>
                            </m:r>
                          </m:e>
                          <m:sub>
                            <m:r>
                              <m:rPr>
                                <m:sty m:val="p"/>
                              </m:rPr>
                              <w:rPr>
                                <w:rFonts w:ascii="Cambria Math" w:hAnsi="Cambria Math" w:eastAsia="Cambria Math" w:cs="Cambria Math"/>
                                <w:sz w:val="18"/>
                                <w:szCs w:val="18"/>
                              </w:rPr>
                              <m:t>h</m:t>
                            </m:r>
                          </m:sub>
                        </m:sSub>
                      </m:e>
                    </m:d>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z</m:t>
                        </m:r>
                      </m:sub>
                    </m:sSub>
                    <m:d>
                      <m:dPr/>
                      <m:e>
                        <m:sSub>
                          <m:sSubPr/>
                          <m:e>
                            <m:r>
                              <m:rPr/>
                              <w:rPr>
                                <w:rFonts w:ascii="Cambria Math" w:hAnsi="Cambria Math" w:eastAsia="Cambria Math" w:cs="Cambria Math"/>
                                <w:sz w:val="18"/>
                                <w:szCs w:val="18"/>
                              </w:rPr>
                              <m:t>ψ</m:t>
                            </m:r>
                          </m:e>
                          <m:sub>
                            <m:r>
                              <m:rPr>
                                <m:sty m:val="p"/>
                              </m:rPr>
                              <w:rPr>
                                <w:rFonts w:ascii="Cambria Math" w:hAnsi="Cambria Math" w:eastAsia="Cambria Math" w:cs="Cambria Math"/>
                                <w:sz w:val="18"/>
                                <w:szCs w:val="18"/>
                              </w:rPr>
                              <m:t>h</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Dh</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e>
                </m:eqArr>
              </m:oMath>
            </m:oMathPara>
          </w:p>
        </w:tc>
        <w:tc>
          <w:tcPr>
            <w:tcW w:w="390" w:type="dxa"/>
            <w:vAlign w:val="center"/>
          </w:tcPr>
          <w:p w14:paraId="39CB4922">
            <w:pPr>
              <w:numPr>
                <w:ilvl w:val="0"/>
                <w:numId w:val="0"/>
              </w:numPr>
              <w:snapToGrid w:val="0"/>
              <w:jc w:val="right"/>
              <w:rPr>
                <w:sz w:val="16"/>
              </w:rPr>
            </w:pPr>
            <w:r>
              <w:rPr>
                <w:sz w:val="16"/>
                <w:szCs w:val="16"/>
              </w:rPr>
              <w:t>(30)</w:t>
            </w:r>
          </w:p>
        </w:tc>
      </w:tr>
    </w:tbl>
    <w:p w14:paraId="27CBECC9">
      <w:pPr>
        <w:pStyle w:val="7"/>
        <w:numPr>
          <w:ilvl w:val="0"/>
          <w:numId w:val="0"/>
        </w:numPr>
        <w:snapToGrid w:val="0"/>
        <w:rPr>
          <w:rFonts w:hint="eastAsia" w:eastAsia="宋体"/>
          <w:strike/>
          <w:dstrike w:val="0"/>
          <w:sz w:val="20"/>
          <w:highlight w:val="green"/>
          <w:lang w:eastAsia="zh-CN"/>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为手柄零位姿态相对 {D} 的固定安装旋转</w:t>
      </w:r>
      <w:r>
        <w:rPr>
          <w:rFonts w:hint="eastAsia"/>
          <w:sz w:val="20"/>
          <w:szCs w:val="20"/>
          <w:lang w:eastAsia="zh-CN"/>
        </w:rPr>
        <w:t>，</w:t>
      </w:r>
      <w:r>
        <w:rPr>
          <w:rFonts w:hint="eastAsia"/>
          <w:sz w:val="20"/>
          <w:szCs w:val="20"/>
        </w:rPr>
        <w:t>零位坐标轴与 {D} 对齐时，</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h,0</m:t>
            </m:r>
          </m:sub>
        </m:sSub>
      </m:oMath>
      <w:r>
        <w:rPr>
          <w:rFonts w:hint="eastAsia"/>
          <w:sz w:val="20"/>
          <w:szCs w:val="20"/>
        </w:rPr>
        <w:t xml:space="preserve"> 等于 </w:t>
      </w:r>
      <m:oMath>
        <m:sSub>
          <m:sSubPr/>
          <m:e>
            <m:r>
              <m:rPr>
                <m:sty m:val="b"/>
              </m:rPr>
              <w:rPr>
                <w:rFonts w:ascii="Cambria Math" w:hAnsi="Cambria Math" w:eastAsia="Cambria Math" w:cs="Cambria Math"/>
                <w:sz w:val="20"/>
                <w:szCs w:val="20"/>
              </w:rPr>
              <m:t>I</m:t>
            </m:r>
          </m:e>
          <m:sub>
            <m:r>
              <m:rPr>
                <m:sty m:val="p"/>
              </m:rPr>
              <w:rPr>
                <w:rFonts w:ascii="Cambria Math" w:hAnsi="Cambria Math" w:eastAsia="Cambria Math" w:cs="Cambria Math"/>
                <w:sz w:val="20"/>
                <w:szCs w:val="20"/>
              </w:rPr>
              <m:t>3</m:t>
            </m:r>
          </m:sub>
        </m:sSub>
      </m:oMath>
      <w:r>
        <w:rPr>
          <w:rFonts w:hint="eastAsia"/>
          <w:sz w:val="20"/>
          <w:szCs w:val="20"/>
        </w:rPr>
        <w:t>。动轴旋转依次右乘，故三个关节的旋转矩阵按 roll、pitch、yaw 排列。</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h</m:t>
            </m:r>
          </m:sub>
        </m:sSub>
      </m:oMath>
      <w:r>
        <w:rPr>
          <w:rFonts w:hint="eastAsia"/>
          <w:sz w:val="20"/>
          <w:szCs w:val="20"/>
        </w:rPr>
        <w:t xml:space="preserve"> 将手柄姿态坐标系的分量变换至 {D}</w:t>
      </w:r>
      <w:r>
        <w:rPr>
          <w:rFonts w:hint="eastAsia"/>
          <w:sz w:val="20"/>
          <w:szCs w:val="20"/>
          <w:lang w:eastAsia="zh-CN"/>
        </w:rPr>
        <w:t>。</w:t>
      </w:r>
    </w:p>
    <w:p w14:paraId="39B0740A">
      <w:pPr>
        <w:pStyle w:val="7"/>
        <w:numPr>
          <w:ilvl w:val="0"/>
          <w:numId w:val="0"/>
        </w:numPr>
        <w:snapToGrid w:val="0"/>
        <w:rPr>
          <w:sz w:val="20"/>
        </w:rPr>
      </w:pPr>
      <w:r>
        <w:rPr>
          <w:rFonts w:hint="eastAsia"/>
          <w:sz w:val="20"/>
          <w:szCs w:val="20"/>
        </w:rPr>
        <w:t xml:space="preserve">将从端机械臂基坐标系记为 {A}，与 II-C 节的坐标系 {0} 一致。初始化时记录主端位置零点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D,0</m:t>
            </m:r>
          </m:sub>
        </m:sSub>
      </m:oMath>
      <w:r>
        <w:rPr>
          <w:rFonts w:hint="eastAsia"/>
          <w:sz w:val="20"/>
          <w:szCs w:val="20"/>
        </w:rPr>
        <w:t xml:space="preserve"> 和从端参考位置 </w:t>
      </w:r>
      <m:oMath>
        <m:sSub>
          <m:sSubPr/>
          <m:e>
            <m:r>
              <m:rPr>
                <m:sty m:val="bi"/>
              </m:rPr>
              <w:rPr>
                <w:rFonts w:ascii="Cambria Math" w:hAnsi="Cambria Math" w:eastAsia="Cambria Math" w:cs="Cambria Math"/>
                <w:sz w:val="20"/>
                <w:szCs w:val="20"/>
              </w:rPr>
              <m:t>p</m:t>
            </m:r>
          </m:e>
          <m:sub>
            <m:r>
              <m:rPr>
                <m:sty m:val="p"/>
              </m:rPr>
              <w:rPr>
                <w:rFonts w:ascii="Cambria Math" w:hAnsi="Cambria Math" w:eastAsia="Cambria Math" w:cs="Cambria Math"/>
                <w:sz w:val="20"/>
                <w:szCs w:val="20"/>
              </w:rPr>
              <m:t>A,0</m:t>
            </m:r>
          </m:sub>
        </m:sSub>
      </m:oMath>
      <w:r>
        <w:rPr>
          <w:rFonts w:hint="eastAsia"/>
          <w:sz w:val="20"/>
          <w:szCs w:val="20"/>
        </w:rPr>
        <w:t>，由主端矩阵中的位置、姿态分块计算从端目标：</w:t>
      </w:r>
    </w:p>
    <w:tbl>
      <w:tblPr>
        <w:tblStyle w:val="10"/>
        <w:tblW w:w="4866" w:type="dxa"/>
        <w:tblCaption w:val="Equation 31"/>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64C6665">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1452D40C">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A,0</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K</m:t>
                        </m:r>
                      </m:e>
                      <m:sub>
                        <m:r>
                          <m:rPr>
                            <m:sty m:val="p"/>
                          </m:rPr>
                          <w:rPr>
                            <w:rFonts w:ascii="Cambria Math" w:hAnsi="Cambria Math" w:eastAsia="Cambria Math" w:cs="Cambria Math"/>
                            <w:sz w:val="18"/>
                            <w:szCs w:val="18"/>
                          </w:rPr>
                          <m:t>map</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d>
                      <m:d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D,0</m:t>
                            </m:r>
                          </m:sub>
                        </m:sSub>
                      </m:e>
                    </m:d>
                    <m:r>
                      <m:rPr>
                        <m:sty m:val="p"/>
                      </m:rPr>
                      <w:rPr>
                        <w:rFonts w:ascii="Cambria Math" w:hAnsi="Cambria Math" w:eastAsia="Cambria Math" w:cs="Cambria Math"/>
                        <w:sz w:val="18"/>
                        <w:szCs w:val="18"/>
                      </w:rPr>
                      <m:t>,</m:t>
                    </m:r>
                  </m:e>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h</m:t>
                        </m:r>
                      </m:sub>
                    </m:sSub>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tool</m:t>
                        </m:r>
                      </m:sub>
                    </m:sSub>
                    <m:r>
                      <m:rPr>
                        <m:sty m:val="p"/>
                      </m:rPr>
                      <w:rPr>
                        <w:rFonts w:ascii="Cambria Math" w:hAnsi="Cambria Math" w:eastAsia="Cambria Math" w:cs="Cambria Math"/>
                        <w:sz w:val="18"/>
                        <w:szCs w:val="18"/>
                      </w:rPr>
                      <m:t>.</m:t>
                    </m:r>
                  </m:e>
                </m:eqArr>
              </m:oMath>
            </m:oMathPara>
          </w:p>
        </w:tc>
        <w:tc>
          <w:tcPr>
            <w:tcW w:w="390" w:type="dxa"/>
            <w:vAlign w:val="center"/>
          </w:tcPr>
          <w:p w14:paraId="36F9BD1D">
            <w:pPr>
              <w:numPr>
                <w:ilvl w:val="0"/>
                <w:numId w:val="0"/>
              </w:numPr>
              <w:snapToGrid w:val="0"/>
              <w:jc w:val="right"/>
              <w:rPr>
                <w:sz w:val="16"/>
              </w:rPr>
            </w:pPr>
            <w:r>
              <w:rPr>
                <w:sz w:val="16"/>
                <w:szCs w:val="16"/>
              </w:rPr>
              <w:t>(31)</w:t>
            </w:r>
          </w:p>
        </w:tc>
      </w:tr>
    </w:tbl>
    <w:p w14:paraId="0BF1969F">
      <w:pPr>
        <w:pStyle w:val="7"/>
        <w:numPr>
          <w:ilvl w:val="0"/>
          <w:numId w:val="0"/>
        </w:numPr>
        <w:snapToGrid w:val="0"/>
        <w:rPr>
          <w:sz w:val="20"/>
        </w:rPr>
      </w:pPr>
      <w:r>
        <w:rPr>
          <w:rFonts w:hint="eastAsia"/>
          <w:sz w:val="20"/>
          <w:szCs w:val="20"/>
        </w:rPr>
        <w:t>其中，</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 xml:space="preserve"> 将 {D} 中的分量旋转至 {A}；</w:t>
      </w:r>
      <m:oMath>
        <m:sSub>
          <m:sSubPr/>
          <m:e>
            <m:r>
              <m:rPr>
                <m:sty m:val="b"/>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map</m:t>
            </m:r>
          </m:sub>
        </m:sSub>
        <m:r>
          <m:rPr>
            <m:sty m:val="p"/>
          </m:rPr>
          <w:rPr>
            <w:rFonts w:ascii="Cambria Math" w:hAnsi="Cambria Math" w:eastAsia="Cambria Math" w:cs="Cambria Math"/>
            <w:sz w:val="20"/>
            <w:szCs w:val="20"/>
          </w:rPr>
          <m:t>=diag</m:t>
        </m:r>
        <m:d>
          <m:dPr/>
          <m:e>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x</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y</m:t>
                </m:r>
              </m:sub>
            </m:sSub>
            <m:r>
              <m:rPr>
                <m:sty m:val="p"/>
              </m:rPr>
              <w:rPr>
                <w:rFonts w:ascii="Cambria Math" w:hAnsi="Cambria Math" w:eastAsia="Cambria Math" w:cs="Cambria Math"/>
                <w:sz w:val="20"/>
                <w:szCs w:val="20"/>
              </w:rPr>
              <m:t>,</m:t>
            </m:r>
            <m:sSub>
              <m:sSubPr/>
              <m:e>
                <m:r>
                  <m:rPr/>
                  <w:rPr>
                    <w:rFonts w:ascii="Cambria Math" w:hAnsi="Cambria Math" w:eastAsia="Cambria Math" w:cs="Cambria Math"/>
                    <w:sz w:val="20"/>
                    <w:szCs w:val="20"/>
                  </w:rPr>
                  <m:t>k</m:t>
                </m:r>
              </m:e>
              <m:sub>
                <m:r>
                  <m:rPr>
                    <m:sty m:val="p"/>
                  </m:rPr>
                  <w:rPr>
                    <w:rFonts w:ascii="Cambria Math" w:hAnsi="Cambria Math" w:eastAsia="Cambria Math" w:cs="Cambria Math"/>
                    <w:sz w:val="20"/>
                    <w:szCs w:val="20"/>
                  </w:rPr>
                  <m:t>z</m:t>
                </m:r>
              </m:sub>
            </m:sSub>
          </m:e>
        </m:d>
      </m:oMath>
      <w:r>
        <w:rPr>
          <w:rFonts w:hint="eastAsia"/>
          <w:sz w:val="20"/>
          <w:szCs w:val="20"/>
        </w:rPr>
        <w:t xml:space="preserve"> 为无量纲位置缩放矩阵，沿从端基坐标轴分别缩放；</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tool</m:t>
            </m:r>
          </m:sub>
        </m:sSub>
      </m:oMath>
      <w:r>
        <w:rPr>
          <w:rFonts w:hint="eastAsia"/>
          <w:sz w:val="20"/>
          <w:szCs w:val="20"/>
        </w:rPr>
        <w:t xml:space="preserve"> 为从端工具姿态相对手柄姿态的固定校准旋转。主端先完成姿态校准，再转换为 RPY 发送，因此接收端按同一动轴 X–Y–Z 约定还原后即可得到 </w:t>
      </w:r>
      <m:oMath>
        <m:sSub>
          <m:sSubPr/>
          <m:e>
            <m:r>
              <m:rPr>
                <m:sty m:val="b"/>
              </m:rPr>
              <w:rPr>
                <w:rFonts w:ascii="Cambria Math" w:hAnsi="Cambria Math" w:eastAsia="Cambria Math" w:cs="Cambria Math"/>
                <w:sz w:val="20"/>
                <w:szCs w:val="20"/>
              </w:rPr>
              <m:t>R</m:t>
            </m:r>
          </m:e>
          <m:sub>
            <m:r>
              <m:rPr>
                <m:sty m:val="p"/>
              </m:rPr>
              <w:rPr>
                <w:rFonts w:ascii="Cambria Math" w:hAnsi="Cambria Math" w:eastAsia="Cambria Math" w:cs="Cambria Math"/>
                <w:sz w:val="20"/>
                <w:szCs w:val="20"/>
              </w:rPr>
              <m:t>A,d</m:t>
            </m:r>
          </m:sub>
        </m:sSub>
      </m:oMath>
      <w:r>
        <w:rPr>
          <w:rFonts w:hint="eastAsia"/>
          <w:sz w:val="20"/>
          <w:szCs w:val="20"/>
        </w:rPr>
        <w:t>。</w:t>
      </w:r>
    </w:p>
    <w:p w14:paraId="4BCDE9C3">
      <w:pPr>
        <w:pStyle w:val="7"/>
        <w:numPr>
          <w:ilvl w:val="0"/>
          <w:numId w:val="0"/>
        </w:numPr>
        <w:snapToGrid w:val="0"/>
        <w:rPr>
          <w:sz w:val="20"/>
        </w:rPr>
      </w:pPr>
      <w:r>
        <w:rPr>
          <w:rFonts w:hint="eastAsia"/>
          <w:sz w:val="20"/>
          <w:szCs w:val="20"/>
        </w:rPr>
        <w:t>将(31)的目标位置和姿态重新组合，得到从端末端相对机械臂基座的目标齐次变换矩阵：</w:t>
      </w:r>
    </w:p>
    <w:tbl>
      <w:tblPr>
        <w:tblStyle w:val="10"/>
        <w:tblW w:w="4866" w:type="dxa"/>
        <w:tblCaption w:val="Equation 32"/>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3946FF91">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C785F25">
            <w:pPr>
              <w:pStyle w:val="17"/>
              <w:numPr>
                <w:ilvl w:val="0"/>
                <w:numId w:val="0"/>
              </w:numPr>
              <w:snapToGrid w:val="0"/>
              <w:spacing w:before="100" w:after="100" w:line="240" w:lineRule="auto"/>
              <w:ind w:left="0" w:right="0" w:firstLine="0"/>
              <w:jc w:val="center"/>
              <w:rPr>
                <w:sz w:val="18"/>
              </w:rPr>
            </w:pPr>
            <m:oMathPara>
              <m:oMathParaPr>
                <m:jc m:val="center"/>
              </m:oMathParaPr>
              <m:oMath>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d>
                  <m:dPr>
                    <m:begChr m:val="["/>
                    <m:endChr m:val="]"/>
                  </m:dPr>
                  <m:e>
                    <m:m>
                      <m:mPr>
                        <m:mcs>
                          <m:mc>
                            <m:mcPr>
                              <m:count m:val="2"/>
                              <m:mcJc m:val="center"/>
                            </m:mcPr>
                          </m:mc>
                        </m:mcs>
                      </m:mPr>
                      <m:mr>
                        <m:e>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e>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e>
                      </m:mr>
                      <m:mr>
                        <m:e>
                          <m:sSup>
                            <m:sSupPr/>
                            <m:e>
                              <m:r>
                                <m:rPr>
                                  <m:sty m:val="bi"/>
                                </m:rPr>
                                <w:rPr>
                                  <w:rFonts w:ascii="Cambria Math" w:hAnsi="Cambria Math" w:eastAsia="Cambria Math" w:cs="Cambria Math"/>
                                  <w:sz w:val="18"/>
                                  <w:szCs w:val="18"/>
                                </w:rPr>
                                <m:t>0</m:t>
                              </m:r>
                            </m:e>
                            <m:sup>
                              <m:r>
                                <m:rPr>
                                  <m:sty m:val="p"/>
                                </m:rPr>
                                <w:rPr>
                                  <w:rFonts w:ascii="Cambria Math" w:hAnsi="Cambria Math" w:eastAsia="Cambria Math" w:cs="Cambria Math"/>
                                  <w:sz w:val="18"/>
                                  <w:szCs w:val="18"/>
                                </w:rPr>
                                <m:t>T</m:t>
                              </m:r>
                            </m:sup>
                          </m:sSup>
                        </m:e>
                        <m:e>
                          <m:r>
                            <m:rPr>
                              <m:sty m:val="p"/>
                            </m:rPr>
                            <w:rPr>
                              <w:rFonts w:ascii="Cambria Math" w:hAnsi="Cambria Math" w:eastAsia="Cambria Math" w:cs="Cambria Math"/>
                              <w:sz w:val="18"/>
                              <w:szCs w:val="18"/>
                            </w:rPr>
                            <m:t>1</m:t>
                          </m:r>
                        </m:e>
                      </m:mr>
                    </m:m>
                  </m:e>
                </m:d>
                <m:r>
                  <m:rPr>
                    <m:sty m:val="p"/>
                  </m:rPr>
                  <w:rPr>
                    <w:rFonts w:ascii="Cambria Math" w:hAnsi="Cambria Math" w:eastAsia="Cambria Math" w:cs="Cambria Math"/>
                    <w:sz w:val="18"/>
                    <w:szCs w:val="18"/>
                  </w:rPr>
                  <m:t>.</m:t>
                </m:r>
              </m:oMath>
            </m:oMathPara>
          </w:p>
        </w:tc>
        <w:tc>
          <w:tcPr>
            <w:tcW w:w="390" w:type="dxa"/>
            <w:vAlign w:val="center"/>
          </w:tcPr>
          <w:p w14:paraId="1B38611E">
            <w:pPr>
              <w:numPr>
                <w:ilvl w:val="0"/>
                <w:numId w:val="0"/>
              </w:numPr>
              <w:snapToGrid w:val="0"/>
              <w:jc w:val="right"/>
              <w:rPr>
                <w:sz w:val="16"/>
              </w:rPr>
            </w:pPr>
            <w:r>
              <w:rPr>
                <w:sz w:val="16"/>
                <w:szCs w:val="16"/>
              </w:rPr>
              <w:t>(32)</w:t>
            </w:r>
          </w:p>
        </w:tc>
      </w:tr>
    </w:tbl>
    <w:p w14:paraId="25B95CA1">
      <w:pPr>
        <w:pStyle w:val="7"/>
        <w:numPr>
          <w:ilvl w:val="0"/>
          <w:numId w:val="0"/>
        </w:numPr>
        <w:snapToGrid w:val="0"/>
        <w:rPr>
          <w:sz w:val="20"/>
        </w:rPr>
      </w:pPr>
      <w:r>
        <w:rPr>
          <w:rFonts w:hint="eastAsia"/>
          <w:sz w:val="20"/>
          <w:szCs w:val="20"/>
        </w:rPr>
        <w:t>该矩阵的旋转块与平移列分别对应 II-C 节的末端目标姿态和位置，关节指令由解析逆运动学（inverse kinematics，IK）映射得到：</w:t>
      </w:r>
    </w:p>
    <w:tbl>
      <w:tblPr>
        <w:tblStyle w:val="10"/>
        <w:tblW w:w="4866" w:type="dxa"/>
        <w:tblCaption w:val="Equation 33"/>
        <w:tblInd w:w="0" w:type="dxa"/>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Layout w:type="fixed"/>
        <w:tblCellMar>
          <w:top w:w="0" w:type="dxa"/>
          <w:left w:w="0" w:type="dxa"/>
          <w:bottom w:w="0" w:type="dxa"/>
          <w:right w:w="0" w:type="dxa"/>
        </w:tblCellMar>
      </w:tblPr>
      <w:tblGrid>
        <w:gridCol w:w="4476"/>
        <w:gridCol w:w="390"/>
      </w:tblGrid>
      <w:tr w14:paraId="0F292CF7">
        <w:tblPrEx>
          <w:tblBorders>
            <w:top w:val="none" w:color="B0B0B0" w:sz="4" w:space="0"/>
            <w:left w:val="none" w:color="B0B0B0" w:sz="4" w:space="0"/>
            <w:bottom w:val="none" w:color="B0B0B0" w:sz="4" w:space="0"/>
            <w:right w:val="none" w:color="B0B0B0" w:sz="4" w:space="0"/>
            <w:insideH w:val="none" w:color="B0B0B0" w:sz="4" w:space="0"/>
            <w:insideV w:val="none" w:color="B0B0B0" w:sz="4" w:space="0"/>
          </w:tblBorders>
          <w:tblCellMar>
            <w:top w:w="0" w:type="dxa"/>
            <w:left w:w="0" w:type="dxa"/>
            <w:bottom w:w="0" w:type="dxa"/>
            <w:right w:w="0" w:type="dxa"/>
          </w:tblCellMar>
        </w:tblPrEx>
        <w:trPr>
          <w:cantSplit/>
        </w:trPr>
        <w:tc>
          <w:tcPr>
            <w:tcW w:w="4476" w:type="dxa"/>
            <w:vAlign w:val="center"/>
          </w:tcPr>
          <w:p w14:paraId="7993C877">
            <w:pPr>
              <w:pStyle w:val="17"/>
              <w:numPr>
                <w:ilvl w:val="0"/>
                <w:numId w:val="0"/>
              </w:numPr>
              <w:snapToGrid w:val="0"/>
              <w:spacing w:before="100" w:after="100" w:line="240" w:lineRule="auto"/>
              <w:ind w:left="0" w:right="0" w:firstLine="0"/>
              <w:jc w:val="center"/>
              <w:rPr>
                <w:sz w:val="18"/>
              </w:rPr>
            </w:pPr>
            <m:oMathPara>
              <m:oMathParaPr>
                <m:jc m:val="center"/>
              </m:oMathParaPr>
              <m:oMath>
                <m:eqArr>
                  <m:eqArrPr/>
                  <m:e>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i"/>
                          </m:rPr>
                          <w:rPr>
                            <w:rFonts w:ascii="Cambria Math" w:hAnsi="Cambria Math" w:eastAsia="Cambria Math" w:cs="Cambria Math"/>
                            <w:sz w:val="18"/>
                            <w:szCs w:val="18"/>
                          </w:rPr>
                          <m:t>p</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, </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06</m:t>
                        </m:r>
                      </m:sub>
                    </m:sSub>
                    <m:r>
                      <m:rPr>
                        <m:sty m:val="p"/>
                      </m:rPr>
                      <w:rPr>
                        <w:rFonts w:ascii="Cambria Math" w:hAnsi="Cambria Math" w:eastAsia="Cambria Math" w:cs="Cambria Math"/>
                        <w:sz w:val="18"/>
                        <w:szCs w:val="18"/>
                      </w:rPr>
                      <m:t>=</m:t>
                    </m:r>
                    <m:sSub>
                      <m:sSubPr/>
                      <m:e>
                        <m:r>
                          <m:rPr>
                            <m:sty m:val="b"/>
                          </m:rPr>
                          <w:rPr>
                            <w:rFonts w:ascii="Cambria Math" w:hAnsi="Cambria Math" w:eastAsia="Cambria Math" w:cs="Cambria Math"/>
                            <w:sz w:val="18"/>
                            <w:szCs w:val="18"/>
                          </w:rPr>
                          <m:t>R</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m:t>
                    </m:r>
                  </m:e>
                  <m:e>
                    <m:sSub>
                      <m:sSubPr/>
                      <m:e>
                        <m:r>
                          <m:rPr>
                            <m:sty m:val="bi"/>
                          </m:rPr>
                          <w:rPr>
                            <w:rFonts w:ascii="Cambria Math" w:hAnsi="Cambria Math" w:eastAsia="Cambria Math" w:cs="Cambria Math"/>
                            <w:sz w:val="18"/>
                            <w:szCs w:val="18"/>
                          </w:rPr>
                          <m:t>q</m:t>
                        </m:r>
                      </m:e>
                      <m:sub>
                        <m:r>
                          <m:rPr>
                            <m:sty m:val="p"/>
                          </m:rPr>
                          <w:rPr>
                            <w:rFonts w:ascii="Cambria Math" w:hAnsi="Cambria Math" w:eastAsia="Cambria Math" w:cs="Cambria Math"/>
                            <w:sz w:val="18"/>
                            <w:szCs w:val="18"/>
                          </w:rPr>
                          <m:t>a,d</m:t>
                        </m:r>
                      </m:sub>
                    </m:sSub>
                    <m:r>
                      <m:rPr>
                        <m:sty m:val="p"/>
                      </m:rPr>
                      <w:rPr>
                        <w:rFonts w:ascii="Cambria Math" w:hAnsi="Cambria Math" w:eastAsia="Cambria Math" w:cs="Cambria Math"/>
                        <w:sz w:val="18"/>
                        <w:szCs w:val="18"/>
                      </w:rPr>
                      <m:t>=IK</m:t>
                    </m:r>
                    <m:d>
                      <m:dPr/>
                      <m:e>
                        <m:sSub>
                          <m:sSubPr/>
                          <m:e>
                            <m:r>
                              <m:rPr>
                                <m:sty m:val="b"/>
                              </m:rPr>
                              <w:rPr>
                                <w:rFonts w:ascii="Cambria Math" w:hAnsi="Cambria Math" w:eastAsia="Cambria Math" w:cs="Cambria Math"/>
                                <w:sz w:val="18"/>
                                <w:szCs w:val="18"/>
                              </w:rPr>
                              <m:t>T</m:t>
                            </m:r>
                          </m:e>
                          <m:sub>
                            <m:r>
                              <m:rPr>
                                <m:sty m:val="p"/>
                              </m:rPr>
                              <w:rPr>
                                <w:rFonts w:ascii="Cambria Math" w:hAnsi="Cambria Math" w:eastAsia="Cambria Math" w:cs="Cambria Math"/>
                                <w:sz w:val="18"/>
                                <w:szCs w:val="18"/>
                              </w:rPr>
                              <m:t>A,d</m:t>
                            </m:r>
                          </m:sub>
                        </m:sSub>
                      </m:e>
                    </m:d>
                    <m:r>
                      <m:rPr>
                        <m:sty m:val="p"/>
                      </m:rPr>
                      <w:rPr>
                        <w:rFonts w:ascii="Cambria Math" w:hAnsi="Cambria Math" w:eastAsia="Cambria Math" w:cs="Cambria Math"/>
                        <w:sz w:val="18"/>
                        <w:szCs w:val="18"/>
                      </w:rPr>
                      <m:t>.</m:t>
                    </m:r>
                  </m:e>
                </m:eqArr>
              </m:oMath>
            </m:oMathPara>
          </w:p>
        </w:tc>
        <w:tc>
          <w:tcPr>
            <w:tcW w:w="390" w:type="dxa"/>
            <w:vAlign w:val="center"/>
          </w:tcPr>
          <w:p w14:paraId="6166FC46">
            <w:pPr>
              <w:numPr>
                <w:ilvl w:val="0"/>
                <w:numId w:val="0"/>
              </w:numPr>
              <w:snapToGrid w:val="0"/>
              <w:jc w:val="right"/>
              <w:rPr>
                <w:sz w:val="16"/>
              </w:rPr>
            </w:pPr>
            <w:r>
              <w:rPr>
                <w:sz w:val="16"/>
                <w:szCs w:val="16"/>
              </w:rPr>
              <w:t>(33)</w:t>
            </w:r>
          </w:p>
        </w:tc>
      </w:tr>
      <w:bookmarkEnd w:id="2"/>
      <w:bookmarkEnd w:id="11"/>
      <w:bookmarkEnd w:id="14"/>
    </w:tbl>
    <w:p w14:paraId="7A120001">
      <w:pPr>
        <w:pStyle w:val="2"/>
        <w:numPr>
          <w:ilvl w:val="0"/>
          <w:numId w:val="0"/>
        </w:numPr>
        <w:snapToGrid w:val="0"/>
      </w:pPr>
      <w:r>
        <w:rPr>
          <w:rFonts w:ascii="Times New Roman" w:hAnsi="Times New Roman" w:eastAsia="宋体"/>
          <w:sz w:val="20"/>
          <w:szCs w:val="20"/>
        </w:rPr>
        <w:t>III. 实验与结果（Experiments and Results）</w:t>
      </w:r>
    </w:p>
    <w:p w14:paraId="7A120002">
      <w:pPr>
        <w:pStyle w:val="7"/>
        <w:numPr>
          <w:ilvl w:val="0"/>
          <w:numId w:val="0"/>
        </w:numPr>
        <w:snapToGrid w:val="0"/>
        <w:rPr>
          <w:rFonts w:hint="default" w:eastAsia="宋体"/>
          <w:sz w:val="20"/>
          <w:szCs w:val="20"/>
          <w:lang w:val="en-US" w:eastAsia="zh-CN"/>
        </w:rPr>
      </w:pPr>
      <w:r>
        <w:rPr>
          <w:rFonts w:ascii="Times New Roman" w:hAnsi="Times New Roman" w:eastAsia="宋体"/>
          <w:sz w:val="20"/>
          <w:szCs w:val="20"/>
        </w:rPr>
        <w:t>本节基于</w:t>
      </w:r>
      <w:r>
        <w:rPr>
          <w:rFonts w:hint="eastAsia"/>
          <w:sz w:val="20"/>
          <w:szCs w:val="20"/>
          <w:lang w:val="en-US" w:eastAsia="zh-CN"/>
        </w:rPr>
        <w:t>前</w:t>
      </w:r>
      <w:r>
        <w:rPr>
          <w:rFonts w:ascii="Times New Roman" w:hAnsi="Times New Roman" w:eastAsia="宋体"/>
          <w:sz w:val="20"/>
          <w:szCs w:val="20"/>
        </w:rPr>
        <w:t>文设计的机械结构进行</w:t>
      </w:r>
      <w:r>
        <w:rPr>
          <w:rFonts w:hint="eastAsia"/>
          <w:sz w:val="20"/>
          <w:szCs w:val="20"/>
          <w:lang w:val="en-US" w:eastAsia="zh-CN"/>
        </w:rPr>
        <w:t>仿真建模、</w:t>
      </w:r>
      <w:r>
        <w:rPr>
          <w:rFonts w:hint="eastAsia"/>
          <w:sz w:val="20"/>
          <w:szCs w:val="20"/>
        </w:rPr>
        <w:t>几何计算与工作空间分析，分别讨论机械臂夹爪中心及遥操作控制器动平台中心的位置覆盖范围</w:t>
      </w:r>
      <w:r>
        <w:rPr>
          <w:rFonts w:hint="eastAsia"/>
          <w:sz w:val="20"/>
          <w:szCs w:val="20"/>
          <w:lang w:eastAsia="zh-CN"/>
        </w:rPr>
        <w:t>，</w:t>
      </w:r>
      <w:r>
        <w:rPr>
          <w:rFonts w:hint="eastAsia"/>
          <w:sz w:val="20"/>
          <w:szCs w:val="20"/>
        </w:rPr>
        <w:t>用于说明结构参数与运动学映射之间的关系</w:t>
      </w:r>
      <w:r>
        <w:rPr>
          <w:rFonts w:hint="eastAsia"/>
          <w:color w:val="FF0000"/>
          <w:sz w:val="20"/>
          <w:szCs w:val="20"/>
          <w:lang w:eastAsia="zh-CN"/>
        </w:rPr>
        <w:t>；</w:t>
      </w:r>
      <w:r>
        <w:rPr>
          <w:rFonts w:hint="eastAsia"/>
          <w:color w:val="FF0000"/>
          <w:sz w:val="20"/>
          <w:szCs w:val="20"/>
          <w:lang w:val="en-US" w:eastAsia="zh-CN"/>
        </w:rPr>
        <w:t>同时节末给出机器人系统的实物运动与控制展示，以完整演示机器人系统的地形跨越能力和遥操作控制效果。</w:t>
      </w:r>
    </w:p>
    <w:p w14:paraId="7A120008">
      <w:pPr>
        <w:pStyle w:val="3"/>
        <w:numPr>
          <w:ilvl w:val="1"/>
          <w:numId w:val="0"/>
        </w:numPr>
        <w:snapToGrid w:val="0"/>
      </w:pPr>
      <w:r>
        <w:rPr>
          <w:rFonts w:ascii="Times New Roman" w:hAnsi="Times New Roman" w:eastAsia="宋体"/>
          <w:sz w:val="20"/>
          <w:szCs w:val="20"/>
        </w:rPr>
        <w:t>A. 机械臂夹爪中心工作空间</w:t>
      </w:r>
    </w:p>
    <w:p w14:paraId="7A120009">
      <w:pPr>
        <w:pStyle w:val="7"/>
        <w:numPr>
          <w:ilvl w:val="0"/>
          <w:numId w:val="0"/>
        </w:numPr>
        <w:snapToGrid w:val="0"/>
        <w:rPr>
          <w:sz w:val="20"/>
        </w:rPr>
      </w:pPr>
      <w:r>
        <w:rPr>
          <w:rFonts w:hint="eastAsia"/>
          <w:sz w:val="20"/>
          <w:szCs w:val="20"/>
          <w:lang w:eastAsia="zh-CN"/>
        </w:rPr>
        <w:t>机械臂工作空间</w:t>
      </w:r>
      <w:r>
        <w:rPr>
          <w:rFonts w:hint="eastAsia"/>
          <w:sz w:val="20"/>
          <w:szCs w:val="20"/>
        </w:rPr>
        <w:t>采用</w:t>
      </w:r>
      <w:r>
        <w:rPr>
          <w:rFonts w:hint="eastAsia"/>
          <w:sz w:val="20"/>
          <w:szCs w:val="20"/>
          <w:lang w:val="en-US" w:eastAsia="zh-CN"/>
        </w:rPr>
        <w:t>前文</w:t>
      </w:r>
      <w:r>
        <w:rPr>
          <w:rFonts w:hint="eastAsia"/>
          <w:sz w:val="20"/>
          <w:szCs w:val="20"/>
        </w:rPr>
        <w:t>机械结构模型中的关节中心距与工具尺寸</w:t>
      </w:r>
      <w:r>
        <w:rPr>
          <w:rFonts w:hint="eastAsia"/>
          <w:sz w:val="20"/>
          <w:szCs w:val="20"/>
          <w:lang w:eastAsia="zh-CN"/>
        </w:rPr>
        <w:t>，</w:t>
      </w:r>
      <w:r>
        <w:rPr>
          <w:rFonts w:hint="eastAsia"/>
          <w:sz w:val="20"/>
          <w:szCs w:val="20"/>
          <w:lang w:val="en-US" w:eastAsia="zh-CN"/>
        </w:rPr>
        <w:t>在不计机器人实体碰撞的情况下进行理论分析和仿真建模，初步探索六轴机械臂理论可达的最大工作空间</w:t>
      </w:r>
      <w:r>
        <w:rPr>
          <w:rFonts w:hint="eastAsia"/>
          <w:sz w:val="20"/>
          <w:szCs w:val="20"/>
        </w:rPr>
        <w:t>。其中，第二至第三关节的</w:t>
      </w:r>
      <w:r>
        <w:rPr>
          <w:rFonts w:hint="eastAsia"/>
          <w:sz w:val="20"/>
          <w:szCs w:val="20"/>
          <w:lang w:eastAsia="zh-CN"/>
        </w:rPr>
        <w:t>轴间距</w:t>
      </w:r>
      <w:r>
        <w:rPr>
          <w:rFonts w:hint="eastAsia"/>
          <w:sz w:val="20"/>
          <w:szCs w:val="20"/>
        </w:rPr>
        <w:t>为 360 mm，第三关节至腕心的轴向距离</w:t>
      </w:r>
      <w:r>
        <w:rPr>
          <w:rFonts w:hint="eastAsia"/>
          <w:sz w:val="20"/>
          <w:szCs w:val="20"/>
          <w:lang w:eastAsia="zh-CN"/>
        </w:rPr>
        <w:t>轴</w:t>
      </w:r>
      <w:r>
        <w:rPr>
          <w:rFonts w:hint="eastAsia"/>
          <w:sz w:val="20"/>
          <w:szCs w:val="20"/>
          <w:lang w:val="en-US" w:eastAsia="zh-CN"/>
        </w:rPr>
        <w:t>-</w:t>
      </w:r>
      <w:r>
        <w:rPr>
          <w:rFonts w:hint="eastAsia"/>
          <w:sz w:val="20"/>
          <w:szCs w:val="20"/>
          <w:lang w:eastAsia="zh-CN"/>
        </w:rPr>
        <w:t>点距离</w:t>
      </w:r>
      <w:r>
        <w:rPr>
          <w:rFonts w:hint="eastAsia"/>
          <w:sz w:val="20"/>
          <w:szCs w:val="20"/>
        </w:rPr>
        <w:t>为 382 mm，腕心至夹爪中心的工具轴向距离为 184.1 mm。</w:t>
      </w:r>
      <w:r>
        <w:rPr>
          <w:rFonts w:hint="eastAsia"/>
          <w:sz w:val="20"/>
          <w:szCs w:val="20"/>
          <w:lang w:eastAsia="zh-CN"/>
        </w:rPr>
        <w:t>以机械臂坐标系</w:t>
      </w:r>
      <w:r>
        <w:rPr>
          <w:rFonts w:hint="eastAsia"/>
          <w:sz w:val="20"/>
          <w:szCs w:val="20"/>
          <w:lang w:val="en-US" w:eastAsia="zh-CN"/>
        </w:rPr>
        <w:t>{0}作为参考坐标系，对机械臂工作空间进行蒙特卡洛采样，</w:t>
      </w:r>
      <w:r>
        <w:rPr>
          <w:rFonts w:hint="eastAsia"/>
          <w:sz w:val="20"/>
          <w:szCs w:val="20"/>
        </w:rPr>
        <w:t>并将夹爪中心</w:t>
      </w:r>
      <w:r>
        <w:rPr>
          <w:rFonts w:ascii="Times New Roman" w:hAnsi="Times New Roman" w:eastAsia="宋体"/>
          <w:sz w:val="20"/>
          <w:szCs w:val="20"/>
        </w:rPr>
        <w:t>位置绘制为三维点云及径向–高度投影，如 Fig. 10(a) 和 (b) 所示。</w:t>
      </w:r>
    </w:p>
    <w:p w14:paraId="7A120010">
      <w:pPr>
        <w:pStyle w:val="7"/>
        <w:numPr>
          <w:ilvl w:val="0"/>
          <w:numId w:val="0"/>
        </w:numPr>
        <w:snapToGrid w:val="0"/>
        <w:rPr>
          <w:rFonts w:hint="eastAsia"/>
          <w:sz w:val="20"/>
          <w:szCs w:val="20"/>
        </w:rPr>
      </w:pPr>
      <w:r>
        <w:rPr>
          <w:rFonts w:hint="eastAsia"/>
          <w:sz w:val="20"/>
          <w:szCs w:val="20"/>
          <w:lang w:val="en-US" w:eastAsia="zh-CN"/>
        </w:rPr>
        <w:t>根据仿真结果，</w:t>
      </w:r>
      <w:r>
        <w:rPr>
          <w:rFonts w:hint="eastAsia"/>
          <w:sz w:val="20"/>
          <w:szCs w:val="20"/>
        </w:rPr>
        <w:t>夹爪中心的采样最大径向距离为 820.66 mm，竖直</w:t>
      </w:r>
      <w:r>
        <w:rPr>
          <w:rFonts w:hint="eastAsia"/>
          <w:sz w:val="20"/>
          <w:szCs w:val="20"/>
          <w:lang w:eastAsia="zh-CN"/>
        </w:rPr>
        <w:t>可达区间</w:t>
      </w:r>
      <w:r>
        <w:rPr>
          <w:rFonts w:hint="eastAsia"/>
          <w:sz w:val="20"/>
          <w:szCs w:val="20"/>
        </w:rPr>
        <w:t>为 −237.44 至 683.52 mm。</w:t>
      </w:r>
      <w:r>
        <w:rPr>
          <w:rFonts w:hint="eastAsia"/>
          <w:sz w:val="20"/>
          <w:szCs w:val="20"/>
          <w:lang w:val="en-US" w:eastAsia="zh-CN"/>
        </w:rPr>
        <w:t>在此基础上，结合四轮足底盘升降，还可以通过改变机械臂基座在世界坐标系中的位置，进一步扩大机器人末端位置覆盖范围。</w:t>
      </w:r>
    </w:p>
    <w:p w14:paraId="7A120013">
      <w:pPr>
        <w:pStyle w:val="3"/>
        <w:numPr>
          <w:ilvl w:val="1"/>
          <w:numId w:val="0"/>
        </w:numPr>
        <w:snapToGrid w:val="0"/>
      </w:pPr>
      <w:r>
        <w:rPr>
          <w:rFonts w:ascii="Times New Roman" w:hAnsi="Times New Roman" w:eastAsia="宋体"/>
          <w:sz w:val="20"/>
          <w:szCs w:val="20"/>
        </w:rPr>
        <w:t>B. 遥操作控制器平移工作空间</w:t>
      </w:r>
    </w:p>
    <w:p w14:paraId="7A120014">
      <w:pPr>
        <w:pStyle w:val="7"/>
        <w:numPr>
          <w:ilvl w:val="0"/>
          <w:numId w:val="0"/>
        </w:numPr>
        <w:snapToGrid w:val="0"/>
        <w:rPr>
          <w:rFonts w:hint="default" w:eastAsia="宋体"/>
          <w:sz w:val="20"/>
          <w:lang w:val="en-US" w:eastAsia="zh-CN"/>
        </w:rPr>
      </w:pPr>
      <w:r>
        <w:rPr>
          <w:rFonts w:ascii="Times New Roman" w:hAnsi="Times New Roman" w:eastAsia="宋体"/>
          <w:sz w:val="20"/>
          <w:szCs w:val="20"/>
        </w:rPr>
        <w:t>采用 TABLE II 的 Delta 机构几何参数，</w:t>
      </w:r>
      <w:r>
        <w:rPr>
          <w:rFonts w:hint="eastAsia" w:ascii="Times New Roman" w:hAnsi="Times New Roman" w:eastAsia="宋体"/>
          <w:sz w:val="20"/>
          <w:szCs w:val="20"/>
          <w:lang w:val="en-US" w:eastAsia="zh-CN"/>
        </w:rPr>
        <w:t>同样在不</w:t>
      </w:r>
      <w:r>
        <w:rPr>
          <w:rFonts w:ascii="Times New Roman" w:hAnsi="Times New Roman" w:eastAsia="宋体"/>
          <w:sz w:val="20"/>
          <w:szCs w:val="20"/>
        </w:rPr>
        <w:t>计构件之间的实体碰撞</w:t>
      </w:r>
      <w:r>
        <w:rPr>
          <w:rFonts w:hint="eastAsia" w:ascii="Times New Roman" w:hAnsi="Times New Roman" w:eastAsia="宋体"/>
          <w:sz w:val="20"/>
          <w:szCs w:val="20"/>
          <w:lang w:eastAsia="zh-CN"/>
        </w:rPr>
        <w:t>，</w:t>
      </w:r>
      <w:r>
        <w:rPr>
          <w:rFonts w:hint="eastAsia" w:ascii="Times New Roman" w:hAnsi="Times New Roman" w:eastAsia="宋体"/>
          <w:sz w:val="20"/>
          <w:szCs w:val="20"/>
          <w:lang w:val="en-US" w:eastAsia="zh-CN"/>
        </w:rPr>
        <w:t>只</w:t>
      </w:r>
      <w:r>
        <w:rPr>
          <w:rFonts w:ascii="Times New Roman" w:hAnsi="Times New Roman" w:eastAsia="宋体"/>
          <w:sz w:val="20"/>
          <w:szCs w:val="20"/>
        </w:rPr>
        <w:t>考虑支链几何关系</w:t>
      </w:r>
      <w:r>
        <w:rPr>
          <w:rFonts w:hint="eastAsia" w:ascii="Times New Roman" w:hAnsi="Times New Roman" w:eastAsia="宋体"/>
          <w:sz w:val="20"/>
          <w:szCs w:val="20"/>
          <w:lang w:val="en-US" w:eastAsia="zh-CN"/>
        </w:rPr>
        <w:t>的前提下进行仿真建模，</w:t>
      </w:r>
      <w:r>
        <w:rPr>
          <w:rFonts w:ascii="Times New Roman" w:hAnsi="Times New Roman" w:eastAsia="宋体"/>
          <w:sz w:val="20"/>
          <w:szCs w:val="20"/>
        </w:rPr>
        <w:t>分析动平台中心位于工作侧时的</w:t>
      </w:r>
      <w:r>
        <w:rPr>
          <w:rFonts w:hint="eastAsia" w:ascii="Times New Roman" w:hAnsi="Times New Roman" w:eastAsia="宋体"/>
          <w:sz w:val="20"/>
          <w:szCs w:val="20"/>
          <w:lang w:val="en-US" w:eastAsia="zh-CN"/>
        </w:rPr>
        <w:t>理论</w:t>
      </w:r>
      <w:r>
        <w:rPr>
          <w:rFonts w:ascii="Times New Roman" w:hAnsi="Times New Roman" w:eastAsia="宋体"/>
          <w:sz w:val="20"/>
          <w:szCs w:val="20"/>
        </w:rPr>
        <w:t>几何可达位置，并将结果统一表达于本文定义的右手坐标系 {D}。Fig. 10(c) 给出三维工作空间示意</w:t>
      </w:r>
      <w:r>
        <w:rPr>
          <w:rFonts w:hint="eastAsia"/>
          <w:sz w:val="20"/>
          <w:szCs w:val="20"/>
          <w:lang w:eastAsia="zh-CN"/>
        </w:rPr>
        <w:t>。</w:t>
      </w:r>
    </w:p>
    <w:p w14:paraId="7A120015">
      <w:pPr>
        <w:pStyle w:val="7"/>
        <w:numPr>
          <w:ilvl w:val="0"/>
          <w:numId w:val="0"/>
        </w:numPr>
        <w:snapToGrid w:val="0"/>
        <w:rPr>
          <w:sz w:val="20"/>
          <w:highlight w:val="yellow"/>
        </w:rPr>
      </w:pPr>
      <w:r>
        <w:rPr>
          <w:rFonts w:ascii="Times New Roman" w:hAnsi="Times New Roman" w:eastAsia="宋体"/>
          <w:sz w:val="20"/>
          <w:szCs w:val="20"/>
        </w:rPr>
        <w:t xml:space="preserve">沿 </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20"/>
          <w:szCs w:val="20"/>
        </w:rPr>
        <w:t>、</w:t>
      </w:r>
      <m:oMath>
        <m:sSub>
          <m:sSubPr/>
          <m:e>
            <m:r>
              <m:rPr/>
              <w:rPr>
                <w:rFonts w:ascii="Cambria Math" w:hAnsi="Cambria Math"/>
                <w:sz w:val="20"/>
              </w:rPr>
              <m:t>y</m:t>
            </m:r>
          </m:e>
          <m:sub>
            <m:r>
              <m:rPr>
                <m:sty m:val="p"/>
              </m:rPr>
              <w:rPr>
                <w:rFonts w:ascii="Cambria Math" w:hAnsi="Cambria Math"/>
                <w:sz w:val="20"/>
              </w:rPr>
              <m:t>D</m:t>
            </m:r>
          </m:sub>
        </m:sSub>
      </m:oMath>
      <w:r>
        <w:rPr>
          <w:rFonts w:ascii="Times New Roman" w:hAnsi="Times New Roman" w:eastAsia="宋体"/>
          <w:sz w:val="20"/>
          <w:szCs w:val="20"/>
        </w:rPr>
        <w:t xml:space="preserve"> 和 </w:t>
      </w:r>
      <m:oMath>
        <m:sSub>
          <m:sSubPr/>
          <m:e>
            <m:r>
              <m:rPr/>
              <w:rPr>
                <w:rFonts w:ascii="Cambria Math" w:hAnsi="Cambria Math"/>
                <w:sz w:val="20"/>
              </w:rPr>
              <m:t>z</m:t>
            </m:r>
          </m:e>
          <m:sub>
            <m:r>
              <m:rPr>
                <m:sty m:val="p"/>
              </m:rPr>
              <w:rPr>
                <w:rFonts w:ascii="Cambria Math" w:hAnsi="Cambria Math"/>
                <w:sz w:val="20"/>
              </w:rPr>
              <m:t>D</m:t>
            </m:r>
          </m:sub>
        </m:sSub>
      </m:oMath>
      <w:r>
        <w:rPr>
          <w:rFonts w:ascii="Times New Roman" w:hAnsi="Times New Roman" w:eastAsia="宋体"/>
          <w:sz w:val="20"/>
          <w:szCs w:val="20"/>
        </w:rPr>
        <w:t xml:space="preserve"> 的外包络坐标范围依次为 −348.80 至 0.00 mm、−200.00 至 200.00 mm 和 −230.94 至 230.94 mm，对应尺寸为 348.80 × 400.00 × 461.88 mm。中心轴 </w:t>
      </w:r>
      <m:oMath>
        <m:sSub>
          <m:sSubPr/>
          <m:e>
            <m:r>
              <m:rPr/>
              <w:rPr>
                <w:rFonts w:ascii="Cambria Math" w:hAnsi="Cambria Math"/>
                <w:sz w:val="20"/>
              </w:rPr>
              <m:t>y</m:t>
            </m:r>
          </m:e>
          <m:sub>
            <m:r>
              <m:rPr>
                <m:sty m:val="p"/>
              </m:rPr>
              <w:rPr>
                <w:rFonts w:ascii="Cambria Math" w:hAnsi="Cambria Math"/>
                <w:sz w:val="20"/>
              </w:rPr>
              <m:t>D</m:t>
            </m:r>
          </m:sub>
        </m:sSub>
        <m:r>
          <m:rPr>
            <m:sty m:val="p"/>
          </m:rPr>
          <w:rPr>
            <w:rFonts w:ascii="Cambria Math" w:hAnsi="Cambria Math"/>
            <w:sz w:val="20"/>
          </w:rPr>
          <m:t>=</m:t>
        </m:r>
        <m:sSub>
          <m:sSubPr/>
          <m:e>
            <m:r>
              <m:rPr/>
              <w:rPr>
                <w:rFonts w:ascii="Cambria Math" w:hAnsi="Cambria Math"/>
                <w:sz w:val="20"/>
              </w:rPr>
              <m:t>z</m:t>
            </m:r>
          </m:e>
          <m:sub>
            <m:r>
              <m:rPr>
                <m:sty m:val="p"/>
              </m:rPr>
              <w:rPr>
                <w:rFonts w:ascii="Cambria Math" w:hAnsi="Cambria Math"/>
                <w:sz w:val="20"/>
              </w:rPr>
              <m:t>D</m:t>
            </m:r>
          </m:sub>
        </m:sSub>
        <m:r>
          <m:rPr>
            <m:sty m:val="p"/>
          </m:rPr>
          <w:rPr>
            <w:rFonts w:ascii="Cambria Math" w:hAnsi="Cambria Math"/>
            <w:sz w:val="20"/>
          </w:rPr>
          <m:t>=0</m:t>
        </m:r>
      </m:oMath>
      <w:r>
        <w:rPr>
          <w:rFonts w:ascii="Times New Roman" w:hAnsi="Times New Roman" w:eastAsia="宋体"/>
          <w:sz w:val="20"/>
          <w:szCs w:val="20"/>
        </w:rPr>
        <w:t xml:space="preserve"> 上，</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20"/>
          <w:szCs w:val="20"/>
        </w:rPr>
        <w:t xml:space="preserve"> 的可达区间为 −348.80 至 −89.21 mm。</w:t>
      </w:r>
      <w:r>
        <w:rPr>
          <w:rFonts w:hint="eastAsia" w:ascii="Times New Roman" w:hAnsi="Times New Roman" w:eastAsia="宋体"/>
          <w:sz w:val="20"/>
          <w:szCs w:val="20"/>
          <w:lang w:val="en-US" w:eastAsia="zh-CN"/>
        </w:rPr>
        <w:t>以上</w:t>
      </w:r>
      <w:r>
        <w:rPr>
          <w:rFonts w:ascii="Times New Roman" w:hAnsi="Times New Roman" w:eastAsia="宋体"/>
          <w:sz w:val="20"/>
          <w:szCs w:val="20"/>
        </w:rPr>
        <w:t>外包络</w:t>
      </w:r>
      <w:r>
        <w:rPr>
          <w:rFonts w:hint="eastAsia" w:ascii="Times New Roman" w:hAnsi="Times New Roman" w:eastAsia="宋体"/>
          <w:sz w:val="20"/>
          <w:szCs w:val="20"/>
          <w:lang w:val="en-US" w:eastAsia="zh-CN"/>
        </w:rPr>
        <w:t>坐标范围仅</w:t>
      </w:r>
      <w:r>
        <w:rPr>
          <w:rFonts w:ascii="Times New Roman" w:hAnsi="Times New Roman" w:eastAsia="宋体"/>
          <w:sz w:val="20"/>
          <w:szCs w:val="20"/>
        </w:rPr>
        <w:t>给出各方向的坐标跨度，</w:t>
      </w:r>
      <w:r>
        <w:rPr>
          <w:rFonts w:hint="eastAsia" w:ascii="Times New Roman" w:hAnsi="Times New Roman" w:eastAsia="宋体"/>
          <w:sz w:val="20"/>
          <w:szCs w:val="20"/>
          <w:lang w:val="en-US" w:eastAsia="zh-CN"/>
        </w:rPr>
        <w:t>但</w:t>
      </w:r>
      <w:r>
        <w:rPr>
          <w:rFonts w:ascii="Times New Roman" w:hAnsi="Times New Roman" w:eastAsia="宋体"/>
          <w:sz w:val="20"/>
          <w:szCs w:val="20"/>
        </w:rPr>
        <w:t>其内部长方体并非全部可达；静平台附近还存在由支链几何关系形成的不可达区域。</w:t>
      </w:r>
    </w:p>
    <w:p w14:paraId="7A120016">
      <w:pPr>
        <w:pStyle w:val="7"/>
        <w:numPr>
          <w:ilvl w:val="0"/>
          <w:numId w:val="0"/>
        </w:numPr>
        <w:snapToGrid w:val="0"/>
        <w:rPr>
          <w:sz w:val="20"/>
        </w:rPr>
        <w:sectPr>
          <w:type w:val="continuous"/>
          <w:pgSz w:w="11906" w:h="16838"/>
          <w:pgMar w:top="1080" w:right="907" w:bottom="1440" w:left="907" w:header="720" w:footer="720" w:gutter="0"/>
          <w:cols w:space="360" w:num="2"/>
          <w:docGrid w:linePitch="360" w:charSpace="0"/>
        </w:sectPr>
      </w:pPr>
      <w:r>
        <w:rPr>
          <w:rFonts w:ascii="Times New Roman" w:hAnsi="Times New Roman" w:eastAsia="宋体"/>
          <w:sz w:val="20"/>
          <w:szCs w:val="20"/>
        </w:rPr>
        <w:t>上述结果描述主手的平移输入空间，</w:t>
      </w:r>
      <w:r>
        <w:rPr>
          <w:rFonts w:hint="eastAsia" w:ascii="Times New Roman" w:hAnsi="Times New Roman" w:eastAsia="宋体"/>
          <w:sz w:val="20"/>
          <w:szCs w:val="20"/>
          <w:lang w:val="en-US" w:eastAsia="zh-CN"/>
        </w:rPr>
        <w:t>为</w:t>
      </w:r>
      <w:r>
        <w:rPr>
          <w:rFonts w:ascii="Times New Roman" w:hAnsi="Times New Roman" w:eastAsia="宋体"/>
          <w:sz w:val="20"/>
          <w:szCs w:val="20"/>
        </w:rPr>
        <w:t>位置映射比例与操作参考点选择</w:t>
      </w:r>
      <w:r>
        <w:rPr>
          <w:rFonts w:hint="eastAsia" w:ascii="Times New Roman" w:hAnsi="Times New Roman" w:eastAsia="宋体"/>
          <w:sz w:val="20"/>
          <w:szCs w:val="20"/>
          <w:lang w:val="en-US" w:eastAsia="zh-CN"/>
        </w:rPr>
        <w:t>提供</w:t>
      </w:r>
      <w:r>
        <w:rPr>
          <w:rFonts w:ascii="Times New Roman" w:hAnsi="Times New Roman" w:eastAsia="宋体"/>
          <w:sz w:val="20"/>
          <w:szCs w:val="20"/>
        </w:rPr>
        <w:t>依据。配合手柄上的</w:t>
      </w:r>
      <w:r>
        <w:rPr>
          <w:rFonts w:hint="eastAsia" w:ascii="Times New Roman" w:hAnsi="Times New Roman" w:eastAsia="宋体"/>
          <w:sz w:val="20"/>
          <w:szCs w:val="20"/>
          <w:lang w:eastAsia="zh-CN"/>
        </w:rPr>
        <w:t>重初始化</w:t>
      </w:r>
      <w:r>
        <w:rPr>
          <w:rFonts w:ascii="Times New Roman" w:hAnsi="Times New Roman" w:eastAsia="宋体"/>
          <w:sz w:val="20"/>
          <w:szCs w:val="20"/>
        </w:rPr>
        <w:t>按钮，可在保持从端目标连续的同时分段调整主手参考位置；三轴手柄的姿态输入则继续按前述动轴 RPY 顺序独立计算。</w:t>
      </w:r>
    </w:p>
    <w:p w14:paraId="7A120017">
      <w:pPr>
        <w:keepNext/>
        <w:keepLines/>
        <w:numPr>
          <w:ilvl w:val="0"/>
          <w:numId w:val="0"/>
        </w:numPr>
        <w:snapToGrid w:val="0"/>
        <w:spacing w:before="60" w:after="60" w:line="240" w:lineRule="auto"/>
        <w:ind w:left="0" w:right="0" w:firstLine="0"/>
        <w:jc w:val="center"/>
      </w:pPr>
      <w:r>
        <w:drawing>
          <wp:inline distT="0" distB="0" distL="0" distR="0">
            <wp:extent cx="5939790" cy="1979930"/>
            <wp:effectExtent l="0" t="0" r="0" b="0"/>
            <wp:docPr id="37" name="Fig. 10" descr="Gripper 3D workspace, radial-height projection, and Delta workspace; horizontal three-panel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10" descr="Gripper 3D workspace, radial-height projection, and Delta workspace; horizontal three-panel figure"/>
                    <pic:cNvPicPr>
                      <a:picLocks noChangeAspect="1"/>
                    </pic:cNvPicPr>
                  </pic:nvPicPr>
                  <pic:blipFill>
                    <a:blip r:embed="rId17"/>
                    <a:stretch>
                      <a:fillRect/>
                    </a:stretch>
                  </pic:blipFill>
                  <pic:spPr>
                    <a:xfrm>
                      <a:off x="0" y="0"/>
                      <a:ext cx="5940000" cy="1980000"/>
                    </a:xfrm>
                    <a:prstGeom prst="rect">
                      <a:avLst/>
                    </a:prstGeom>
                  </pic:spPr>
                </pic:pic>
              </a:graphicData>
            </a:graphic>
          </wp:inline>
        </w:drawing>
      </w:r>
    </w:p>
    <w:p w14:paraId="7A120018">
      <w:pPr>
        <w:pStyle w:val="18"/>
        <w:numPr>
          <w:ilvl w:val="0"/>
          <w:numId w:val="0"/>
        </w:numPr>
        <w:snapToGrid w:val="0"/>
        <w:sectPr>
          <w:type w:val="continuous"/>
          <w:pgSz w:w="11906" w:h="16838"/>
          <w:pgMar w:top="1080" w:right="907" w:bottom="1440" w:left="907" w:header="720" w:footer="720" w:gutter="0"/>
          <w:cols w:space="360" w:num="1"/>
          <w:docGrid w:linePitch="360" w:charSpace="0"/>
        </w:sectPr>
      </w:pPr>
      <w:r>
        <w:rPr>
          <w:rFonts w:ascii="Times New Roman" w:hAnsi="Times New Roman" w:eastAsia="宋体"/>
          <w:sz w:val="18"/>
          <w:szCs w:val="18"/>
        </w:rPr>
        <w:t xml:space="preserve">Fig. 10. 机械臂与遥操作控制器的工作空间。（a）夹爪中心的三维采样点云。（b）夹爪中心的径向–高度投影。（c）Delta 动平台中心的三维工作空间示意，工作侧为 </w:t>
      </w:r>
      <m:oMath>
        <m:sSub>
          <m:sSubPr/>
          <m:e>
            <m:r>
              <m:rPr/>
              <w:rPr>
                <w:rFonts w:ascii="Cambria Math" w:hAnsi="Cambria Math"/>
                <w:sz w:val="20"/>
              </w:rPr>
              <m:t>x</m:t>
            </m:r>
          </m:e>
          <m:sub>
            <m:r>
              <m:rPr>
                <m:sty m:val="p"/>
              </m:rPr>
              <w:rPr>
                <w:rFonts w:ascii="Cambria Math" w:hAnsi="Cambria Math"/>
                <w:sz w:val="20"/>
              </w:rPr>
              <m:t>D</m:t>
            </m:r>
          </m:sub>
        </m:sSub>
        <m:r>
          <m:rPr>
            <m:sty m:val="p"/>
          </m:rPr>
          <w:rPr>
            <w:rFonts w:ascii="Cambria Math" w:hAnsi="Cambria Math"/>
            <w:sz w:val="20"/>
          </w:rPr>
          <m:t>&lt;0</m:t>
        </m:r>
      </m:oMath>
      <w:r>
        <w:rPr>
          <w:rFonts w:ascii="Times New Roman" w:hAnsi="Times New Roman" w:eastAsia="宋体"/>
          <w:sz w:val="18"/>
          <w:szCs w:val="18"/>
        </w:rPr>
        <w:t xml:space="preserve">。图中沿 </w:t>
      </w:r>
      <m:oMath>
        <m:sSub>
          <m:sSubPr/>
          <m:e>
            <m:r>
              <m:rPr/>
              <w:rPr>
                <w:rFonts w:ascii="Cambria Math" w:hAnsi="Cambria Math"/>
                <w:sz w:val="20"/>
              </w:rPr>
              <m:t>z</m:t>
            </m:r>
          </m:e>
          <m:sub>
            <m:r>
              <m:rPr>
                <m:sty m:val="p"/>
              </m:rPr>
              <w:rPr>
                <w:rFonts w:ascii="Cambria Math" w:hAnsi="Cambria Math"/>
                <w:sz w:val="20"/>
              </w:rPr>
              <m:t>D</m:t>
            </m:r>
          </m:sub>
        </m:sSub>
      </m:oMath>
      <w:r>
        <w:rPr>
          <w:rFonts w:ascii="Times New Roman" w:hAnsi="Times New Roman" w:eastAsia="宋体"/>
          <w:sz w:val="18"/>
          <w:szCs w:val="18"/>
        </w:rPr>
        <w:t>、</w:t>
      </w:r>
      <m:oMath>
        <m:r>
          <m:rPr>
            <m:sty m:val="p"/>
          </m:rPr>
          <w:rPr>
            <w:rFonts w:ascii="Cambria Math" w:hAnsi="Cambria Math"/>
            <w:sz w:val="20"/>
          </w:rPr>
          <m:t>−</m:t>
        </m:r>
        <m:sSub>
          <m:sSubPr/>
          <m:e>
            <m:r>
              <m:rPr/>
              <w:rPr>
                <w:rFonts w:ascii="Cambria Math" w:hAnsi="Cambria Math"/>
                <w:sz w:val="20"/>
              </w:rPr>
              <m:t>y</m:t>
            </m:r>
          </m:e>
          <m:sub>
            <m:r>
              <m:rPr>
                <m:sty m:val="p"/>
              </m:rPr>
              <w:rPr>
                <w:rFonts w:ascii="Cambria Math" w:hAnsi="Cambria Math"/>
                <w:sz w:val="20"/>
              </w:rPr>
              <m:t>D</m:t>
            </m:r>
          </m:sub>
        </m:sSub>
      </m:oMath>
      <w:r>
        <w:rPr>
          <w:rFonts w:ascii="Times New Roman" w:hAnsi="Times New Roman" w:eastAsia="宋体"/>
          <w:sz w:val="18"/>
          <w:szCs w:val="18"/>
        </w:rPr>
        <w:t xml:space="preserve"> 和 </w:t>
      </w:r>
      <m:oMath>
        <m:sSub>
          <m:sSubPr/>
          <m:e>
            <m:r>
              <m:rPr/>
              <w:rPr>
                <w:rFonts w:ascii="Cambria Math" w:hAnsi="Cambria Math"/>
                <w:sz w:val="20"/>
              </w:rPr>
              <m:t>x</m:t>
            </m:r>
          </m:e>
          <m:sub>
            <m:r>
              <m:rPr>
                <m:sty m:val="p"/>
              </m:rPr>
              <w:rPr>
                <w:rFonts w:ascii="Cambria Math" w:hAnsi="Cambria Math"/>
                <w:sz w:val="20"/>
              </w:rPr>
              <m:t>D</m:t>
            </m:r>
          </m:sub>
        </m:sSub>
      </m:oMath>
      <w:r>
        <w:rPr>
          <w:rFonts w:ascii="Times New Roman" w:hAnsi="Times New Roman" w:eastAsia="宋体"/>
          <w:sz w:val="18"/>
          <w:szCs w:val="18"/>
        </w:rPr>
        <w:t xml:space="preserve"> 显示位置，虚线圆表示静平台连接点分布圆。</w:t>
      </w:r>
    </w:p>
    <w:p w14:paraId="3B555507">
      <w:pPr>
        <w:pStyle w:val="3"/>
        <w:numPr>
          <w:ilvl w:val="1"/>
          <w:numId w:val="0"/>
        </w:numPr>
        <w:snapToGrid w:val="0"/>
      </w:pPr>
      <w:r>
        <w:rPr>
          <w:rFonts w:ascii="Times New Roman" w:hAnsi="Times New Roman" w:eastAsia="宋体"/>
          <w:sz w:val="20"/>
          <w:szCs w:val="20"/>
        </w:rPr>
        <w:t>C. 实物运动和控制效果</w:t>
      </w:r>
    </w:p>
    <w:p w14:paraId="61959AB9">
      <w:pPr>
        <w:pStyle w:val="7"/>
        <w:numPr>
          <w:ilvl w:val="0"/>
          <w:numId w:val="0"/>
        </w:numPr>
        <w:snapToGrid w:val="0"/>
        <w:rPr>
          <w:sz w:val="20"/>
        </w:rPr>
      </w:pPr>
      <w:r>
        <w:rPr>
          <w:rFonts w:ascii="Times New Roman" w:hAnsi="Times New Roman" w:eastAsia="宋体"/>
          <w:sz w:val="20"/>
          <w:szCs w:val="20"/>
        </w:rPr>
        <w:t>在上述工作空间分析的基础上，进一步开展机械臂位姿调整、Delta 主手遥操作及底盘上台阶演示，从实物运动中考察机械结构与控制流程的执行效果。</w:t>
      </w:r>
    </w:p>
    <w:p w14:paraId="7A137819">
      <w:pPr>
        <w:pStyle w:val="4"/>
        <w:keepNext/>
        <w:keepLines/>
        <w:numPr>
          <w:ilvl w:val="2"/>
          <w:numId w:val="0"/>
        </w:numPr>
        <w:snapToGrid w:val="0"/>
      </w:pPr>
      <w:r>
        <w:rPr>
          <w:rFonts w:ascii="Times New Roman" w:hAnsi="Times New Roman" w:eastAsia="宋体"/>
          <w:sz w:val="20"/>
          <w:szCs w:val="20"/>
        </w:rPr>
        <w:t>1) 机械臂运动空间展示</w:t>
      </w:r>
    </w:p>
    <w:p w14:paraId="0A25E2DD">
      <w:pPr>
        <w:pStyle w:val="7"/>
        <w:numPr>
          <w:ilvl w:val="0"/>
          <w:numId w:val="0"/>
        </w:numPr>
        <w:snapToGrid w:val="0"/>
        <w:rPr>
          <w:sz w:val="20"/>
        </w:rPr>
      </w:pPr>
      <w:r>
        <w:rPr>
          <w:rFonts w:ascii="Times New Roman" w:hAnsi="Times New Roman" w:eastAsia="宋体"/>
          <w:sz w:val="20"/>
          <w:szCs w:val="20"/>
        </w:rPr>
        <w:t xml:space="preserve">Fig. 11 </w:t>
      </w:r>
      <w:r>
        <w:rPr>
          <w:rFonts w:hint="eastAsia"/>
          <w:sz w:val="20"/>
          <w:szCs w:val="20"/>
          <w:lang w:val="en-US" w:eastAsia="zh-CN"/>
        </w:rPr>
        <w:t>展示</w:t>
      </w:r>
      <w:r>
        <w:rPr>
          <w:rFonts w:ascii="Times New Roman" w:hAnsi="Times New Roman" w:eastAsia="宋体"/>
          <w:sz w:val="20"/>
          <w:szCs w:val="20"/>
        </w:rPr>
        <w:t>底盘驻定</w:t>
      </w:r>
      <w:r>
        <w:rPr>
          <w:rFonts w:hint="eastAsia"/>
          <w:sz w:val="20"/>
          <w:szCs w:val="20"/>
          <w:lang w:val="en-US" w:eastAsia="zh-CN"/>
        </w:rPr>
        <w:t>状态下</w:t>
      </w:r>
      <w:r>
        <w:rPr>
          <w:rFonts w:ascii="Times New Roman" w:hAnsi="Times New Roman" w:eastAsia="宋体"/>
          <w:sz w:val="20"/>
          <w:szCs w:val="20"/>
        </w:rPr>
        <w:t>械臂向前伸展、向上抬升和向下探取的三种典型</w:t>
      </w:r>
      <w:r>
        <w:rPr>
          <w:rFonts w:hint="eastAsia"/>
          <w:sz w:val="20"/>
          <w:szCs w:val="20"/>
          <w:lang w:val="en-US" w:eastAsia="zh-CN"/>
        </w:rPr>
        <w:t>姿态</w:t>
      </w:r>
      <w:r>
        <w:rPr>
          <w:rFonts w:ascii="Times New Roman" w:hAnsi="Times New Roman" w:eastAsia="宋体"/>
          <w:sz w:val="20"/>
          <w:szCs w:val="20"/>
        </w:rPr>
        <w:t>。通过肩、肘关节与腕部关节的配合，夹爪可分别朝向机身前方、上方及近地面区域，体现了机械臂在不同高度与方向上的操作能力。上述姿态作为工作空间分析的实物补充，用于展示典型可达构型。</w:t>
      </w:r>
    </w:p>
    <w:p w14:paraId="586E6C15">
      <w:pPr>
        <w:pStyle w:val="4"/>
        <w:keepNext/>
        <w:keepLines/>
        <w:numPr>
          <w:ilvl w:val="2"/>
          <w:numId w:val="0"/>
        </w:numPr>
        <w:snapToGrid w:val="0"/>
      </w:pPr>
      <w:r>
        <w:rPr>
          <w:rFonts w:ascii="Times New Roman" w:hAnsi="Times New Roman" w:eastAsia="宋体"/>
          <w:sz w:val="20"/>
          <w:szCs w:val="20"/>
        </w:rPr>
        <w:t>2) Delta 末端控制器操作效果</w:t>
      </w:r>
    </w:p>
    <w:p w14:paraId="3D02DC8B">
      <w:pPr>
        <w:pStyle w:val="7"/>
        <w:numPr>
          <w:ilvl w:val="0"/>
          <w:numId w:val="0"/>
        </w:numPr>
        <w:snapToGrid w:val="0"/>
        <w:rPr>
          <w:sz w:val="20"/>
        </w:rPr>
      </w:pPr>
      <w:r>
        <w:rPr>
          <w:rFonts w:ascii="Times New Roman" w:hAnsi="Times New Roman" w:eastAsia="宋体"/>
          <w:sz w:val="20"/>
          <w:szCs w:val="20"/>
        </w:rPr>
        <w:t>操作者通过 Delta 动平台输入位置，并利用三轴手柄调整末端姿态，操作效果如 Fig. 12 所示。向前和向右抓取时，夹爪分别从不同方向接近并夹持杯体；斜向上和斜向下操作时，机械臂末端呈现相应的倾斜姿态。图中同时保留主手与机器人端，展示操作者输入和从端动作的对应关系，说明位姿映射与关节控制能够用于实际的末端调整和抓取操作。</w:t>
      </w:r>
    </w:p>
    <w:p w14:paraId="6580EDDD">
      <w:pPr>
        <w:pStyle w:val="4"/>
        <w:keepNext/>
        <w:keepLines/>
        <w:numPr>
          <w:ilvl w:val="2"/>
          <w:numId w:val="0"/>
        </w:numPr>
        <w:snapToGrid w:val="0"/>
      </w:pPr>
      <w:r>
        <w:rPr>
          <w:rFonts w:ascii="Times New Roman" w:hAnsi="Times New Roman" w:eastAsia="宋体"/>
          <w:sz w:val="20"/>
          <w:szCs w:val="20"/>
        </w:rPr>
        <w:t>3) 上台阶过程演示</w:t>
      </w:r>
    </w:p>
    <w:p w14:paraId="26F01402">
      <w:pPr>
        <w:pStyle w:val="7"/>
        <w:numPr>
          <w:ilvl w:val="0"/>
          <w:numId w:val="0"/>
        </w:numPr>
        <w:snapToGrid w:val="0"/>
        <w:rPr>
          <w:sz w:val="20"/>
        </w:rPr>
        <w:sectPr>
          <w:type w:val="continuous"/>
          <w:pgSz w:w="11906" w:h="16838"/>
          <w:pgMar w:top="1080" w:right="907" w:bottom="1440" w:left="907" w:header="720" w:footer="720" w:gutter="0"/>
          <w:cols w:space="360" w:num="2"/>
          <w:docGrid w:linePitch="360" w:charSpace="0"/>
        </w:sectPr>
      </w:pPr>
      <w:r>
        <w:rPr>
          <w:rFonts w:ascii="Times New Roman" w:hAnsi="Times New Roman" w:eastAsia="宋体"/>
          <w:sz w:val="20"/>
          <w:szCs w:val="20"/>
        </w:rPr>
        <w:t>Fig. 13 按时间顺序给出机器人连续通过两级台阶的关键过程。机器人由下方地面接近台阶后，通过腿部构型调整与车轮前进配合，使前、后轮依次转移至第一级踏面；随后继续调整支撑并向前移动，完成第二级台阶的跨越，最终四轮均位于上方平台。过程中机械臂</w:t>
      </w:r>
      <w:r>
        <w:rPr>
          <w:rFonts w:hint="eastAsia"/>
          <w:sz w:val="20"/>
          <w:szCs w:val="20"/>
          <w:lang w:val="en-US" w:eastAsia="zh-CN"/>
        </w:rPr>
        <w:t>在</w:t>
      </w:r>
      <w:r>
        <w:rPr>
          <w:rFonts w:ascii="Times New Roman" w:hAnsi="Times New Roman" w:eastAsia="宋体"/>
          <w:sz w:val="20"/>
          <w:szCs w:val="20"/>
        </w:rPr>
        <w:t>登阶期间</w:t>
      </w:r>
      <w:r>
        <w:rPr>
          <w:rFonts w:hint="eastAsia"/>
          <w:sz w:val="20"/>
          <w:szCs w:val="20"/>
          <w:lang w:val="en-US" w:eastAsia="zh-CN"/>
        </w:rPr>
        <w:t>配合</w:t>
      </w:r>
      <w:r>
        <w:rPr>
          <w:rFonts w:ascii="Times New Roman" w:hAnsi="Times New Roman" w:eastAsia="宋体"/>
          <w:sz w:val="20"/>
          <w:szCs w:val="20"/>
        </w:rPr>
        <w:t>调整姿态</w:t>
      </w:r>
      <w:r>
        <w:rPr>
          <w:rFonts w:hint="eastAsia"/>
          <w:sz w:val="20"/>
          <w:szCs w:val="20"/>
          <w:lang w:eastAsia="zh-CN"/>
        </w:rPr>
        <w:t>，</w:t>
      </w:r>
      <w:r>
        <w:rPr>
          <w:rFonts w:hint="eastAsia"/>
          <w:sz w:val="20"/>
          <w:szCs w:val="20"/>
          <w:lang w:val="en-US" w:eastAsia="zh-CN"/>
        </w:rPr>
        <w:t>以一定程度上调节整机重心</w:t>
      </w:r>
      <w:r>
        <w:rPr>
          <w:rFonts w:ascii="Times New Roman" w:hAnsi="Times New Roman" w:eastAsia="宋体"/>
          <w:sz w:val="20"/>
          <w:szCs w:val="20"/>
        </w:rPr>
        <w:t>。该演示展示了轮式移动与腿部支撑调节相结合的地形通过方式。</w:t>
      </w:r>
    </w:p>
    <w:p w14:paraId="0E65BC1D">
      <w:pPr>
        <w:keepNext/>
        <w:keepLines/>
        <w:numPr>
          <w:ilvl w:val="0"/>
          <w:numId w:val="0"/>
        </w:numPr>
        <w:snapToGrid w:val="0"/>
        <w:spacing w:before="40" w:after="40" w:line="240" w:lineRule="auto"/>
        <w:ind w:left="0" w:right="0" w:firstLine="0"/>
        <w:jc w:val="center"/>
      </w:pPr>
      <w:r>
        <w:drawing>
          <wp:inline distT="0" distB="0" distL="0" distR="0">
            <wp:extent cx="6191885" cy="1738630"/>
            <wp:effectExtent l="0" t="0" r="0" b="0"/>
            <wp:docPr id="38" name="Fig. 11" descr="机械臂运动空间的实物展示。（a）向前伸展。（b）向上抬升。（c）向下探取。三幅图分别给出前向、上方及近地面区域的典型可达构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 11" descr="机械臂运动空间的实物展示。（a）向前伸展。（b）向上抬升。（c）向下探取。三幅图分别给出前向、上方及近地面区域的典型可达构型。"/>
                    <pic:cNvPicPr>
                      <a:picLocks noChangeAspect="1"/>
                    </pic:cNvPicPr>
                  </pic:nvPicPr>
                  <pic:blipFill>
                    <a:blip r:embed="rId18"/>
                    <a:stretch>
                      <a:fillRect/>
                    </a:stretch>
                  </pic:blipFill>
                  <pic:spPr>
                    <a:xfrm>
                      <a:off x="0" y="0"/>
                      <a:ext cx="6192000" cy="1738961"/>
                    </a:xfrm>
                    <a:prstGeom prst="rect">
                      <a:avLst/>
                    </a:prstGeom>
                  </pic:spPr>
                </pic:pic>
              </a:graphicData>
            </a:graphic>
          </wp:inline>
        </w:drawing>
      </w:r>
    </w:p>
    <w:p w14:paraId="2AEFB828">
      <w:pPr>
        <w:pStyle w:val="18"/>
        <w:keepLines/>
        <w:numPr>
          <w:ilvl w:val="0"/>
          <w:numId w:val="0"/>
        </w:numPr>
        <w:snapToGrid w:val="0"/>
        <w:spacing w:before="80" w:after="120"/>
      </w:pPr>
      <w:r>
        <w:rPr>
          <w:rFonts w:ascii="Times New Roman" w:hAnsi="Times New Roman" w:eastAsia="宋体"/>
          <w:sz w:val="18"/>
          <w:szCs w:val="18"/>
        </w:rPr>
        <w:t>Fig. 11. 机械臂运动空间的实物展示。（a）向前伸展。（b）向上抬升。（c）向下探取。三幅图分别给出前向、上方及近地面区域的典型可达构型。</w:t>
      </w:r>
    </w:p>
    <w:p w14:paraId="17727E29">
      <w:pPr>
        <w:keepNext/>
        <w:keepLines/>
        <w:numPr>
          <w:ilvl w:val="0"/>
          <w:numId w:val="0"/>
        </w:numPr>
        <w:snapToGrid w:val="0"/>
        <w:spacing w:before="40" w:after="40" w:line="240" w:lineRule="auto"/>
        <w:ind w:left="0" w:right="0" w:firstLine="0"/>
        <w:jc w:val="center"/>
      </w:pPr>
      <w:r>
        <w:drawing>
          <wp:inline distT="0" distB="0" distL="114300" distR="114300">
            <wp:extent cx="6358255" cy="1292860"/>
            <wp:effectExtent l="0" t="0" r="4445" b="254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9"/>
                    <a:stretch>
                      <a:fillRect/>
                    </a:stretch>
                  </pic:blipFill>
                  <pic:spPr>
                    <a:xfrm>
                      <a:off x="0" y="0"/>
                      <a:ext cx="6358255" cy="1292860"/>
                    </a:xfrm>
                    <a:prstGeom prst="rect">
                      <a:avLst/>
                    </a:prstGeom>
                    <a:noFill/>
                    <a:ln>
                      <a:noFill/>
                    </a:ln>
                  </pic:spPr>
                </pic:pic>
              </a:graphicData>
            </a:graphic>
          </wp:inline>
        </w:drawing>
      </w:r>
    </w:p>
    <w:p w14:paraId="615FA244">
      <w:pPr>
        <w:pStyle w:val="18"/>
        <w:keepLines/>
        <w:numPr>
          <w:ilvl w:val="0"/>
          <w:numId w:val="0"/>
        </w:numPr>
        <w:snapToGrid w:val="0"/>
        <w:spacing w:before="80" w:after="120"/>
      </w:pPr>
      <w:r>
        <w:rPr>
          <w:rFonts w:ascii="Times New Roman" w:hAnsi="Times New Roman" w:eastAsia="宋体"/>
          <w:sz w:val="18"/>
          <w:szCs w:val="18"/>
        </w:rPr>
        <w:t>Fig. 12. Delta 主手遥操作效果。（a）向前抓取。（b）向右抓取。（c）斜向上姿态调整。（d）斜向下姿态调整。各子图左侧为操作者与主手，右侧为机器人及机械臂。</w:t>
      </w:r>
    </w:p>
    <w:p w14:paraId="727F8354">
      <w:pPr>
        <w:keepNext/>
        <w:keepLines/>
        <w:numPr>
          <w:ilvl w:val="0"/>
          <w:numId w:val="0"/>
        </w:numPr>
        <w:snapToGrid w:val="0"/>
        <w:spacing w:before="40" w:after="40" w:line="240" w:lineRule="auto"/>
        <w:ind w:left="0" w:right="0" w:firstLine="0"/>
        <w:jc w:val="center"/>
      </w:pPr>
      <w:r>
        <w:drawing>
          <wp:inline distT="0" distB="0" distL="0" distR="0">
            <wp:extent cx="6191885" cy="2727325"/>
            <wp:effectExtent l="0" t="0" r="0" b="0"/>
            <wp:docPr id="40" name="Fig. 13" descr="连续上台阶过程。子图按先上后下、每行从左至右排列，标注时间为视频相对时刻。（a）初始接近。（b）—（d）前、后轮依次通过第一级台阶。（e）—（g）继续通过第二级台阶。（h）四轮登上平台，完成通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 13" descr="连续上台阶过程。子图按先上后下、每行从左至右排列，标注时间为视频相对时刻。（a）初始接近。（b）—（d）前、后轮依次通过第一级台阶。（e）—（g）继续通过第二级台阶。（h）四轮登上平台，完成通过。"/>
                    <pic:cNvPicPr>
                      <a:picLocks noChangeAspect="1"/>
                    </pic:cNvPicPr>
                  </pic:nvPicPr>
                  <pic:blipFill>
                    <a:blip r:embed="rId20"/>
                    <a:srcRect t="2828"/>
                    <a:stretch>
                      <a:fillRect/>
                    </a:stretch>
                  </pic:blipFill>
                  <pic:spPr>
                    <a:xfrm>
                      <a:off x="0" y="0"/>
                      <a:ext cx="6192000" cy="2727325"/>
                    </a:xfrm>
                    <a:prstGeom prst="rect">
                      <a:avLst/>
                    </a:prstGeom>
                  </pic:spPr>
                </pic:pic>
              </a:graphicData>
            </a:graphic>
          </wp:inline>
        </w:drawing>
      </w:r>
    </w:p>
    <w:p w14:paraId="5C634BAD">
      <w:pPr>
        <w:pStyle w:val="18"/>
        <w:keepLines/>
        <w:numPr>
          <w:ilvl w:val="0"/>
          <w:numId w:val="0"/>
        </w:numPr>
        <w:snapToGrid w:val="0"/>
        <w:spacing w:before="80" w:after="120"/>
        <w:sectPr>
          <w:pgSz w:w="11906" w:h="16838"/>
          <w:pgMar w:top="1080" w:right="907" w:bottom="1440" w:left="907" w:header="720" w:footer="720" w:gutter="0"/>
          <w:cols w:space="360" w:num="1"/>
          <w:docGrid w:linePitch="360" w:charSpace="0"/>
        </w:sectPr>
      </w:pPr>
      <w:r>
        <w:rPr>
          <w:rFonts w:ascii="Times New Roman" w:hAnsi="Times New Roman" w:eastAsia="宋体"/>
          <w:sz w:val="18"/>
          <w:szCs w:val="18"/>
        </w:rPr>
        <w:t>Fig. 13. 连续上台阶过程。子图按先上后下、每行从左至右排列，标注时间为视频相对时刻。（a）初始接近。（b）—（d）前、后轮依次通过第一级台阶。（e）—（g）继续通过第二级台阶。（h）四轮登上平台，完成通过。</w:t>
      </w:r>
    </w:p>
    <w:p w14:paraId="3A278C2B">
      <w:pPr>
        <w:pStyle w:val="2"/>
        <w:numPr>
          <w:ilvl w:val="0"/>
          <w:numId w:val="0"/>
        </w:numPr>
        <w:snapToGrid w:val="0"/>
      </w:pPr>
      <w:bookmarkStart w:id="15" w:name="v.-结论conclusion"/>
      <w:r>
        <w:t>IV. 结论</w:t>
      </w:r>
      <w:r>
        <w:rPr>
          <w:rFonts w:hint="eastAsia"/>
        </w:rPr>
        <w:t>（Conclusion）</w:t>
      </w:r>
    </w:p>
    <w:p w14:paraId="651E6B08">
      <w:pPr>
        <w:pStyle w:val="7"/>
        <w:numPr>
          <w:ilvl w:val="0"/>
          <w:numId w:val="0"/>
        </w:numPr>
        <w:snapToGrid w:val="0"/>
        <w:rPr>
          <w:sz w:val="20"/>
        </w:rPr>
      </w:pPr>
      <w:r>
        <w:rPr>
          <w:rFonts w:hint="eastAsia"/>
          <w:sz w:val="20"/>
          <w:szCs w:val="20"/>
        </w:rPr>
        <w:t>本文围绕麦克纳姆轮四足底盘、六轴机械臂和</w:t>
      </w:r>
      <w:r>
        <w:rPr>
          <w:sz w:val="20"/>
          <w:szCs w:val="20"/>
        </w:rPr>
        <w:t xml:space="preserve"> Delta </w:t>
      </w:r>
      <w:r>
        <w:rPr>
          <w:rFonts w:hint="eastAsia"/>
          <w:sz w:val="20"/>
          <w:szCs w:val="20"/>
        </w:rPr>
        <w:t>异构遥操作控制器，提出了结构设计、运动学映射与底盘模型前馈相结合的系统方案。底盘通过两关节轮腿和麦克纳姆轮实现支撑调节与平面移动，控制采用单腿虚功映射和整机单刚体分配；机械臂通过腕心定位与球腕定姿，将末端目标位姿转换为关节指令；主端通过</w:t>
      </w:r>
      <w:r>
        <w:rPr>
          <w:sz w:val="20"/>
          <w:szCs w:val="20"/>
        </w:rPr>
        <w:t xml:space="preserve"> Delta </w:t>
      </w:r>
      <w:r>
        <w:rPr>
          <w:rFonts w:hint="eastAsia"/>
          <w:sz w:val="20"/>
          <w:szCs w:val="20"/>
        </w:rPr>
        <w:t>平移、三编码器姿态输入与坐标缩放连接操作者和机器人。</w:t>
      </w:r>
    </w:p>
    <w:p w14:paraId="44400D9C">
      <w:pPr>
        <w:pStyle w:val="7"/>
        <w:numPr>
          <w:ilvl w:val="0"/>
          <w:numId w:val="0"/>
        </w:numPr>
        <w:snapToGrid w:val="0"/>
        <w:rPr>
          <w:rFonts w:hint="default" w:eastAsia="宋体"/>
          <w:sz w:val="20"/>
          <w:highlight w:val="yellow"/>
          <w:lang w:val="en-US" w:eastAsia="zh-CN"/>
        </w:rPr>
      </w:pPr>
      <w:r>
        <w:rPr>
          <w:rFonts w:hint="eastAsia"/>
          <w:sz w:val="20"/>
          <w:szCs w:val="20"/>
        </w:rPr>
        <w:t>本文形成了底盘移动与姿态控制、机械臂逆运动学及主从位姿映射相结合的控制流程。几何工作空间分析进一步给出了夹爪中心与主手动平台的位置覆盖范围，为结构参数选取及位姿映射提供了依据。</w:t>
      </w:r>
      <w:r>
        <w:rPr>
          <w:rFonts w:hint="eastAsia"/>
          <w:color w:val="FF0000"/>
          <w:sz w:val="20"/>
          <w:szCs w:val="20"/>
          <w:lang w:val="en-US" w:eastAsia="zh-CN"/>
        </w:rPr>
        <w:t>实物演示则验证了机器人系统的地形跨越能力和遥操作完整执行能力。</w:t>
      </w:r>
    </w:p>
    <w:bookmarkEnd w:id="15"/>
    <w:p w14:paraId="7FEF48C1">
      <w:pPr>
        <w:pStyle w:val="6"/>
        <w:keepNext/>
        <w:numPr>
          <w:ilvl w:val="0"/>
          <w:numId w:val="0"/>
        </w:numPr>
        <w:snapToGrid w:val="0"/>
      </w:pPr>
      <w:bookmarkStart w:id="16" w:name="致谢acknowledgment"/>
      <w:r>
        <w:rPr>
          <w:rFonts w:hint="eastAsia"/>
        </w:rPr>
        <w:t>致谢（Acknowledgment）</w:t>
      </w:r>
    </w:p>
    <w:p w14:paraId="415C08CB">
      <w:pPr>
        <w:pStyle w:val="7"/>
        <w:numPr>
          <w:ilvl w:val="0"/>
          <w:numId w:val="0"/>
        </w:numPr>
        <w:snapToGrid w:val="0"/>
        <w:rPr>
          <w:sz w:val="20"/>
        </w:rPr>
      </w:pPr>
    </w:p>
    <w:bookmarkEnd w:id="0"/>
    <w:bookmarkEnd w:id="16"/>
    <w:p w14:paraId="3541C2C4">
      <w:pPr>
        <w:pStyle w:val="6"/>
        <w:keepNext/>
        <w:numPr>
          <w:ilvl w:val="0"/>
          <w:numId w:val="0"/>
        </w:numPr>
        <w:snapToGrid w:val="0"/>
      </w:pPr>
      <w:r>
        <w:rPr>
          <w:rFonts w:hint="eastAsia"/>
        </w:rPr>
        <w:t>参考文献（References）</w:t>
      </w:r>
    </w:p>
    <w:p w14:paraId="2DE913E6">
      <w:pPr>
        <w:pStyle w:val="22"/>
        <w:keepLines/>
        <w:snapToGrid w:val="0"/>
        <w:ind w:left="354" w:hanging="354"/>
      </w:pPr>
      <w:r>
        <w:t>T. Klamt et al., “Remote mobile manipulation with the centauro robot: Full-body telepresence and autonomous operator assistance,” J. Field Robot., vol. 37, no. 5, pp. 889–919, 2020, doi: 10.1002/rob.21895.</w:t>
      </w:r>
    </w:p>
    <w:p w14:paraId="4D14F4CE">
      <w:pPr>
        <w:pStyle w:val="22"/>
        <w:keepLines/>
        <w:snapToGrid w:val="0"/>
        <w:ind w:left="354" w:hanging="354"/>
      </w:pPr>
      <w:r>
        <w:t>M. Bjelonic et al., “Keep rollin’—Whole-body motion control and planning for wheeled quadrupedal robots,” IEEE Robot. Autom. Lett., vol. 4, no. 2, pp. 2116–2123, 2019, doi: 10.1109/LRA.2019.2899750.</w:t>
      </w:r>
    </w:p>
    <w:p w14:paraId="35C2484A">
      <w:pPr>
        <w:pStyle w:val="22"/>
        <w:keepLines/>
        <w:snapToGrid w:val="0"/>
        <w:ind w:left="354" w:hanging="354"/>
      </w:pPr>
      <w:r>
        <w:t>M. Bjelonic, R. Grandia, O. Harley, C. Galliard, S. Zimmermann, and M. Hutter, “Whole-body MPC and online gait sequence generation for wheeled-legged robots,” in Proc. IEEE/RSJ Int. Conf. Intell. Robots Syst. (IROS), 2021, pp. 8388–8395, doi: 10.1109/IROS51168.2021.9636371.</w:t>
      </w:r>
    </w:p>
    <w:p w14:paraId="3E290545">
      <w:pPr>
        <w:pStyle w:val="22"/>
        <w:keepLines/>
        <w:snapToGrid w:val="0"/>
        <w:ind w:left="354" w:hanging="354"/>
      </w:pPr>
      <w:r>
        <w:t>F. Iotti, A. Ranjan, F. Angelini, and M. Garabini, “OmniQuad: A wheeled-legged hybrid robot with omnidirectional wheels,” Mech. Mach. Theory, vol. 214, Art. no. 106125, 2025, doi: 10.1016/j.mechmachtheory.2025.106125.</w:t>
      </w:r>
    </w:p>
    <w:p w14:paraId="751A2607">
      <w:pPr>
        <w:pStyle w:val="22"/>
        <w:keepLines/>
        <w:snapToGrid w:val="0"/>
        <w:ind w:left="354" w:hanging="354"/>
      </w:pPr>
      <w:r>
        <w:t>Z. Wang et al., “Arm-constrained curriculum learning for loco-manipulation of a wheel-legged robot,” in Proc. IEEE/RSJ Int. Conf. Intell. Robots Syst. (IROS), 2024, pp. 10770–10776, doi: 10.1109/IROS58592.2024.10802062.</w:t>
      </w:r>
    </w:p>
    <w:p w14:paraId="6FBB0C4F">
      <w:pPr>
        <w:pStyle w:val="22"/>
        <w:keepLines/>
        <w:snapToGrid w:val="0"/>
        <w:ind w:left="354" w:hanging="354"/>
      </w:pPr>
      <w:r>
        <w:t>R. Zhang, H. Du, P. Qiu, Y. Yang, and W. Song, “Motion control of a hybrid self-reconfigurable wheel-legged dual-arm robot,” in Proc. IEEE/RSJ Int. Conf. Intell. Robots Syst. (IROS), 2025, pp. 16483–16488, doi: 10.1109/IROS60139.2025.11246212.</w:t>
      </w:r>
    </w:p>
    <w:p w14:paraId="40B68303">
      <w:pPr>
        <w:pStyle w:val="22"/>
        <w:keepLines/>
        <w:snapToGrid w:val="0"/>
        <w:ind w:left="354" w:hanging="354"/>
      </w:pPr>
      <w:r>
        <w:t>Z. Chen, S. Li, B. Liu, M. Li, Z. Yin, and Y. Li, “Whole-body motion control of an omnidirectional wheel-legged mobile manipulator via contact-aware dynamic optimization,” 2025, arXiv:2509.14010. [Online]. Available: https://arxiv.org/abs/2509.14010</w:t>
      </w:r>
    </w:p>
    <w:p w14:paraId="02CE285A">
      <w:pPr>
        <w:pStyle w:val="22"/>
        <w:keepLines/>
        <w:snapToGrid w:val="0"/>
        <w:ind w:left="354" w:hanging="354"/>
      </w:pPr>
      <w:r>
        <w:t>C. Cruz Ulloa, D. Domínguez, A. Barrientos, and J. del Cerro, “Design and mixed-reality teleoperation of a quadruped-manipulator robot for SAR tasks,” in Robotics in Natural Settings, ser. Lecture Notes in Networks and Systems, vol. 530. Cham, Switzerland: Springer, 2023, pp. 181–194, doi: 10.1007/978-3-031-15226-9_19.</w:t>
      </w:r>
    </w:p>
    <w:p w14:paraId="346451C9">
      <w:pPr>
        <w:pStyle w:val="22"/>
        <w:keepLines/>
        <w:snapToGrid w:val="0"/>
        <w:ind w:left="354" w:hanging="354"/>
      </w:pPr>
      <w:r>
        <w:t>M. Uchiyama, Y. Tsumaki, and W.-K. Yoon, “Design of a compact 6-DOF haptic device to use parallel mechanisms,” in Robotics Research, ser. Springer Tracts in Advanced Robotics, vol. 28. Berlin, Germany: Springer, 2007, pp. 145–162, doi: 10.1007/978-3-540-48113-3_14.</w:t>
      </w:r>
    </w:p>
    <w:p w14:paraId="30A7AE90">
      <w:pPr>
        <w:pStyle w:val="22"/>
        <w:keepLines/>
        <w:snapToGrid w:val="0"/>
        <w:ind w:left="354" w:hanging="354"/>
      </w:pPr>
      <w:r>
        <w:t>A. Tobergte et al., “The sigma.7 haptic interface for MiroSurge: A new bi-manual surgical console,” in Proc. IEEE/RSJ Int. Conf. Intell. Robots Syst. (IROS), 2011, pp. 3023–3030, doi: 10.1109/IROS.2011.6048043.</w:t>
      </w:r>
    </w:p>
    <w:p w14:paraId="7B130011">
      <w:pPr>
        <w:pStyle w:val="22"/>
        <w:keepLines/>
        <w:snapToGrid w:val="0"/>
        <w:ind w:left="354" w:hanging="354"/>
      </w:pPr>
      <w:r>
        <w:t>D. L. Pieper, “The kinematics of manipulators under computer control,” Ph.D. dissertation, Stanford Univ., Stanford, CA, USA, 1968.</w:t>
      </w:r>
    </w:p>
    <w:p w14:paraId="0ABBFEB5">
      <w:pPr>
        <w:numPr>
          <w:ilvl w:val="0"/>
          <w:numId w:val="0"/>
        </w:numPr>
        <w:snapToGrid w:val="0"/>
        <w:spacing w:before="0" w:after="0" w:line="1" w:lineRule="exact"/>
        <w:sectPr>
          <w:type w:val="continuous"/>
          <w:pgSz w:w="11906" w:h="16838"/>
          <w:pgMar w:top="1080" w:right="907" w:bottom="1440" w:left="907" w:header="720" w:footer="720" w:gutter="0"/>
          <w:cols w:space="360" w:num="2"/>
          <w:docGrid w:linePitch="360" w:charSpace="0"/>
        </w:sectPr>
      </w:pPr>
    </w:p>
    <w:p w14:paraId="3394C80F">
      <w:pPr>
        <w:rPr>
          <w:rFonts w:hint="default"/>
        </w:rPr>
      </w:pPr>
      <w:r>
        <w:rPr>
          <w:rFonts w:hint="default"/>
        </w:rPr>
        <w:t>+</w: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Luce">
    <w:altName w:val="Gubbi"/>
    <w:panose1 w:val="00000400000000000000"/>
    <w:charset w:val="00"/>
    <w:family w:val="auto"/>
    <w:pitch w:val="default"/>
    <w:sig w:usb0="00000000" w:usb1="00000000" w:usb2="00000000" w:usb3="00000000" w:csb0="00000001" w:csb1="00000000"/>
  </w:font>
  <w:font w:name="Gubbi">
    <w:panose1 w:val="00000400000000000000"/>
    <w:charset w:val="00"/>
    <w:family w:val="auto"/>
    <w:pitch w:val="default"/>
    <w:sig w:usb0="004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朱雀仿宋（预览测试版）">
    <w:panose1 w:val="02000502050000000000"/>
    <w:charset w:val="86"/>
    <w:family w:val="auto"/>
    <w:pitch w:val="default"/>
    <w:sig w:usb0="E00002FF" w:usb1="4A07607B" w:usb2="00000010" w:usb3="00000000" w:csb0="0004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NotTrackMoves/>
  <w:documentProtection w:enforcement="0"/>
  <w:defaultTabStop w:val="720"/>
  <w:doNotHyphenateCaps/>
  <w:drawingGridHorizontalSpacing w:val="360"/>
  <w:drawingGridVerticalSpacing w:val="360"/>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1F4D0A"/>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1267DB"/>
    <w:rsid w:val="019849A8"/>
    <w:rsid w:val="01A35F8B"/>
    <w:rsid w:val="01E738C7"/>
    <w:rsid w:val="04722DC8"/>
    <w:rsid w:val="05253A9F"/>
    <w:rsid w:val="05362D36"/>
    <w:rsid w:val="05EB23CD"/>
    <w:rsid w:val="062474FC"/>
    <w:rsid w:val="067D77AC"/>
    <w:rsid w:val="06A83220"/>
    <w:rsid w:val="06D516E8"/>
    <w:rsid w:val="0712113E"/>
    <w:rsid w:val="077E14C0"/>
    <w:rsid w:val="07D93108"/>
    <w:rsid w:val="08CA6B0B"/>
    <w:rsid w:val="08F63846"/>
    <w:rsid w:val="096577F6"/>
    <w:rsid w:val="09B931D6"/>
    <w:rsid w:val="0A3F5CA9"/>
    <w:rsid w:val="0B41349E"/>
    <w:rsid w:val="0D3F64F1"/>
    <w:rsid w:val="0D9C2C0E"/>
    <w:rsid w:val="0E0802A4"/>
    <w:rsid w:val="0E73251E"/>
    <w:rsid w:val="0EED1247"/>
    <w:rsid w:val="0F5F6850"/>
    <w:rsid w:val="10914580"/>
    <w:rsid w:val="109551B8"/>
    <w:rsid w:val="11FD6167"/>
    <w:rsid w:val="121B57EB"/>
    <w:rsid w:val="13FD7798"/>
    <w:rsid w:val="146E50FA"/>
    <w:rsid w:val="147958FA"/>
    <w:rsid w:val="14961A2A"/>
    <w:rsid w:val="15536982"/>
    <w:rsid w:val="15B381E1"/>
    <w:rsid w:val="16125842"/>
    <w:rsid w:val="16F86BD3"/>
    <w:rsid w:val="1731763D"/>
    <w:rsid w:val="17720E98"/>
    <w:rsid w:val="18D41433"/>
    <w:rsid w:val="19E44366"/>
    <w:rsid w:val="19F53BDA"/>
    <w:rsid w:val="1AFF2903"/>
    <w:rsid w:val="1B1D4C62"/>
    <w:rsid w:val="1B210BF7"/>
    <w:rsid w:val="1B634C1A"/>
    <w:rsid w:val="1BA0493F"/>
    <w:rsid w:val="1BB71F11"/>
    <w:rsid w:val="1BCA0375"/>
    <w:rsid w:val="1CC61995"/>
    <w:rsid w:val="1DFE0D7B"/>
    <w:rsid w:val="1F72557D"/>
    <w:rsid w:val="1FBB607B"/>
    <w:rsid w:val="1FE3647B"/>
    <w:rsid w:val="1FEB3B7D"/>
    <w:rsid w:val="21ED538F"/>
    <w:rsid w:val="22C06271"/>
    <w:rsid w:val="232D622D"/>
    <w:rsid w:val="23AC3027"/>
    <w:rsid w:val="241C01AD"/>
    <w:rsid w:val="24F42ED8"/>
    <w:rsid w:val="25AF090F"/>
    <w:rsid w:val="260C13C9"/>
    <w:rsid w:val="26D631BF"/>
    <w:rsid w:val="26D8520E"/>
    <w:rsid w:val="274301E8"/>
    <w:rsid w:val="27A054EB"/>
    <w:rsid w:val="27B5694E"/>
    <w:rsid w:val="27F51441"/>
    <w:rsid w:val="28035DDB"/>
    <w:rsid w:val="292024ED"/>
    <w:rsid w:val="29406095"/>
    <w:rsid w:val="29C25891"/>
    <w:rsid w:val="2A652AAA"/>
    <w:rsid w:val="2BA56E96"/>
    <w:rsid w:val="2C1A1476"/>
    <w:rsid w:val="2C713B2E"/>
    <w:rsid w:val="2C924D9F"/>
    <w:rsid w:val="2D6811D2"/>
    <w:rsid w:val="2D7C0A9C"/>
    <w:rsid w:val="2E277E7A"/>
    <w:rsid w:val="2E54278D"/>
    <w:rsid w:val="2EB725E6"/>
    <w:rsid w:val="2FA7475E"/>
    <w:rsid w:val="2FBF5FC8"/>
    <w:rsid w:val="2FDFC4B5"/>
    <w:rsid w:val="309733E0"/>
    <w:rsid w:val="31012C04"/>
    <w:rsid w:val="320F4EAD"/>
    <w:rsid w:val="326500FD"/>
    <w:rsid w:val="32AE1A99"/>
    <w:rsid w:val="32B6731B"/>
    <w:rsid w:val="331F4190"/>
    <w:rsid w:val="336E52A3"/>
    <w:rsid w:val="35172508"/>
    <w:rsid w:val="35910C57"/>
    <w:rsid w:val="36174C1A"/>
    <w:rsid w:val="36413BC1"/>
    <w:rsid w:val="367D3DB6"/>
    <w:rsid w:val="369E0A48"/>
    <w:rsid w:val="36A74F98"/>
    <w:rsid w:val="36E91A9B"/>
    <w:rsid w:val="36FE37EA"/>
    <w:rsid w:val="37410393"/>
    <w:rsid w:val="378A4261"/>
    <w:rsid w:val="37A26CC4"/>
    <w:rsid w:val="384E5D87"/>
    <w:rsid w:val="386A108F"/>
    <w:rsid w:val="387D23D2"/>
    <w:rsid w:val="38990E1F"/>
    <w:rsid w:val="38C56C0D"/>
    <w:rsid w:val="38E057F5"/>
    <w:rsid w:val="39CF7FB4"/>
    <w:rsid w:val="3A235B6D"/>
    <w:rsid w:val="3A336BFE"/>
    <w:rsid w:val="3A6A6623"/>
    <w:rsid w:val="3B5732CF"/>
    <w:rsid w:val="3BE22386"/>
    <w:rsid w:val="3BEE647B"/>
    <w:rsid w:val="3BF57A78"/>
    <w:rsid w:val="3C2C089E"/>
    <w:rsid w:val="3C2F4ACA"/>
    <w:rsid w:val="3C6B56B0"/>
    <w:rsid w:val="3C814BF9"/>
    <w:rsid w:val="3DCB6A74"/>
    <w:rsid w:val="3E500D27"/>
    <w:rsid w:val="3E7B5A0B"/>
    <w:rsid w:val="3EB42D77"/>
    <w:rsid w:val="3EED2916"/>
    <w:rsid w:val="3FB56340"/>
    <w:rsid w:val="40491ED2"/>
    <w:rsid w:val="40925627"/>
    <w:rsid w:val="41656898"/>
    <w:rsid w:val="41A82C28"/>
    <w:rsid w:val="41C46440"/>
    <w:rsid w:val="420903DC"/>
    <w:rsid w:val="425A271D"/>
    <w:rsid w:val="42A15FF5"/>
    <w:rsid w:val="43702AB3"/>
    <w:rsid w:val="43726BC2"/>
    <w:rsid w:val="43751C95"/>
    <w:rsid w:val="450E5498"/>
    <w:rsid w:val="45513D03"/>
    <w:rsid w:val="45521829"/>
    <w:rsid w:val="45950732"/>
    <w:rsid w:val="45E723EE"/>
    <w:rsid w:val="46F87ED9"/>
    <w:rsid w:val="471072A6"/>
    <w:rsid w:val="472D3883"/>
    <w:rsid w:val="478B6A7D"/>
    <w:rsid w:val="478E495D"/>
    <w:rsid w:val="47C167F2"/>
    <w:rsid w:val="47D2657C"/>
    <w:rsid w:val="47FBC7DB"/>
    <w:rsid w:val="48325502"/>
    <w:rsid w:val="486C2C02"/>
    <w:rsid w:val="48D42422"/>
    <w:rsid w:val="49535B70"/>
    <w:rsid w:val="49FB423D"/>
    <w:rsid w:val="4A031344"/>
    <w:rsid w:val="4A377EBE"/>
    <w:rsid w:val="4A4A6F73"/>
    <w:rsid w:val="4A7C3A57"/>
    <w:rsid w:val="4AF0020B"/>
    <w:rsid w:val="4AF313B8"/>
    <w:rsid w:val="4B2B0B52"/>
    <w:rsid w:val="4B2F1727"/>
    <w:rsid w:val="4BCD4342"/>
    <w:rsid w:val="4BD72A88"/>
    <w:rsid w:val="4C177328"/>
    <w:rsid w:val="4D115B26"/>
    <w:rsid w:val="4D56721B"/>
    <w:rsid w:val="4F0816E5"/>
    <w:rsid w:val="4F7227E0"/>
    <w:rsid w:val="504C0121"/>
    <w:rsid w:val="50600295"/>
    <w:rsid w:val="515F043C"/>
    <w:rsid w:val="516905C1"/>
    <w:rsid w:val="51CE13A2"/>
    <w:rsid w:val="52053576"/>
    <w:rsid w:val="527C1C93"/>
    <w:rsid w:val="529D2F49"/>
    <w:rsid w:val="52C97739"/>
    <w:rsid w:val="52DD33FA"/>
    <w:rsid w:val="53511372"/>
    <w:rsid w:val="53ED2302"/>
    <w:rsid w:val="53F7B579"/>
    <w:rsid w:val="543021C7"/>
    <w:rsid w:val="55EC1B56"/>
    <w:rsid w:val="561769D4"/>
    <w:rsid w:val="563A1C5C"/>
    <w:rsid w:val="569D5512"/>
    <w:rsid w:val="56BE58EF"/>
    <w:rsid w:val="56BF6D23"/>
    <w:rsid w:val="57810A1C"/>
    <w:rsid w:val="579161E1"/>
    <w:rsid w:val="583354EA"/>
    <w:rsid w:val="58CD5A9A"/>
    <w:rsid w:val="59000207"/>
    <w:rsid w:val="59B60FF6"/>
    <w:rsid w:val="5A4412E8"/>
    <w:rsid w:val="5A7A5745"/>
    <w:rsid w:val="5B2E4D4E"/>
    <w:rsid w:val="5BA261E3"/>
    <w:rsid w:val="5C785C47"/>
    <w:rsid w:val="5D3214B0"/>
    <w:rsid w:val="5D437F7D"/>
    <w:rsid w:val="5E0C0D49"/>
    <w:rsid w:val="5E71553F"/>
    <w:rsid w:val="5EE055E8"/>
    <w:rsid w:val="5F93061C"/>
    <w:rsid w:val="5FA40A7B"/>
    <w:rsid w:val="60015AB8"/>
    <w:rsid w:val="60044C25"/>
    <w:rsid w:val="6056127E"/>
    <w:rsid w:val="60BC2157"/>
    <w:rsid w:val="60F77E46"/>
    <w:rsid w:val="61FC06FB"/>
    <w:rsid w:val="627961EF"/>
    <w:rsid w:val="62D0361C"/>
    <w:rsid w:val="62F24963"/>
    <w:rsid w:val="63E5654B"/>
    <w:rsid w:val="63F43C78"/>
    <w:rsid w:val="64030466"/>
    <w:rsid w:val="64943FCC"/>
    <w:rsid w:val="650C6EA7"/>
    <w:rsid w:val="650D2C1F"/>
    <w:rsid w:val="65856FDD"/>
    <w:rsid w:val="66056FB3"/>
    <w:rsid w:val="66197E7F"/>
    <w:rsid w:val="6694184A"/>
    <w:rsid w:val="670B1D28"/>
    <w:rsid w:val="67470D48"/>
    <w:rsid w:val="677EF307"/>
    <w:rsid w:val="6807678E"/>
    <w:rsid w:val="68BE7F21"/>
    <w:rsid w:val="69496146"/>
    <w:rsid w:val="69FD31CD"/>
    <w:rsid w:val="6B191C03"/>
    <w:rsid w:val="6B4E24B7"/>
    <w:rsid w:val="6B712CDD"/>
    <w:rsid w:val="6BFF494D"/>
    <w:rsid w:val="6CD6760D"/>
    <w:rsid w:val="6D4FA37E"/>
    <w:rsid w:val="6D7500E7"/>
    <w:rsid w:val="6DBC51E2"/>
    <w:rsid w:val="6DF53C57"/>
    <w:rsid w:val="6E271993"/>
    <w:rsid w:val="6E6040A3"/>
    <w:rsid w:val="6E8B2C58"/>
    <w:rsid w:val="6EB02F99"/>
    <w:rsid w:val="6EB512A0"/>
    <w:rsid w:val="6EFF9550"/>
    <w:rsid w:val="6F190B3E"/>
    <w:rsid w:val="6F330183"/>
    <w:rsid w:val="6FFD60F7"/>
    <w:rsid w:val="70E35E7A"/>
    <w:rsid w:val="710D4C5E"/>
    <w:rsid w:val="716D4612"/>
    <w:rsid w:val="71D16BD8"/>
    <w:rsid w:val="721E646B"/>
    <w:rsid w:val="7238067D"/>
    <w:rsid w:val="730E7BAE"/>
    <w:rsid w:val="7337799B"/>
    <w:rsid w:val="73D14A40"/>
    <w:rsid w:val="74244DD1"/>
    <w:rsid w:val="75D62912"/>
    <w:rsid w:val="76286D4A"/>
    <w:rsid w:val="769E4C2D"/>
    <w:rsid w:val="777B5E17"/>
    <w:rsid w:val="78113BDD"/>
    <w:rsid w:val="7866572F"/>
    <w:rsid w:val="78F20C53"/>
    <w:rsid w:val="7A460A2C"/>
    <w:rsid w:val="7A6D2D01"/>
    <w:rsid w:val="7B010C26"/>
    <w:rsid w:val="7B660D60"/>
    <w:rsid w:val="7BAD43ED"/>
    <w:rsid w:val="7BAF6CF2"/>
    <w:rsid w:val="7BCF3E99"/>
    <w:rsid w:val="7C093CE8"/>
    <w:rsid w:val="7CFFB4DD"/>
    <w:rsid w:val="7D493536"/>
    <w:rsid w:val="7D4B1E05"/>
    <w:rsid w:val="7D7BC468"/>
    <w:rsid w:val="7DB3EA36"/>
    <w:rsid w:val="7DB9D918"/>
    <w:rsid w:val="7DDBEB2D"/>
    <w:rsid w:val="7E03663C"/>
    <w:rsid w:val="7E1D20AD"/>
    <w:rsid w:val="7E7E08A7"/>
    <w:rsid w:val="7EA5419C"/>
    <w:rsid w:val="7F1475AA"/>
    <w:rsid w:val="7F5F94B6"/>
    <w:rsid w:val="7F7C0272"/>
    <w:rsid w:val="7FA7690A"/>
    <w:rsid w:val="7FC8211E"/>
    <w:rsid w:val="7FF37189"/>
    <w:rsid w:val="7FFB82DC"/>
    <w:rsid w:val="7FFD2014"/>
    <w:rsid w:val="7FFE82C9"/>
    <w:rsid w:val="97D6FE95"/>
    <w:rsid w:val="9DEDD3B3"/>
    <w:rsid w:val="9FEEC92C"/>
    <w:rsid w:val="AD7BF3F0"/>
    <w:rsid w:val="B31DD456"/>
    <w:rsid w:val="BB7B8C1E"/>
    <w:rsid w:val="BBFFEEA7"/>
    <w:rsid w:val="C7EFD916"/>
    <w:rsid w:val="CE6753A0"/>
    <w:rsid w:val="D1E9525F"/>
    <w:rsid w:val="DBFFB575"/>
    <w:rsid w:val="DE3FEC34"/>
    <w:rsid w:val="E7EDD1E5"/>
    <w:rsid w:val="EB3D77CB"/>
    <w:rsid w:val="F6FFE050"/>
    <w:rsid w:val="F7FB23B8"/>
    <w:rsid w:val="FB9FCC72"/>
    <w:rsid w:val="FD7FBAF7"/>
    <w:rsid w:val="FFAEC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Body Text Char"/>
    <w:link w:val="7"/>
    <w:qFormat/>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Luce"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Luce"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Luce"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IEEE</Company>
  <Pages>10</Pages>
  <Words>4947</Words>
  <Characters>5658</Characters>
  <Lines>102</Lines>
  <Paragraphs>28</Paragraphs>
  <TotalTime>12</TotalTime>
  <ScaleCrop>false</ScaleCrop>
  <LinksUpToDate>false</LinksUpToDate>
  <CharactersWithSpaces>5826</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2026-10-10T18:20:00Z</dcterms:created>
  <dc:creator>赵苏亚</dc:creator>
  <cp:lastModifiedBy>赵苏亚</cp:lastModifiedBy>
  <dcterms:modified xsi:type="dcterms:W3CDTF">2026-10-13T23:46:57Z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FB6A9829F9E04273BF6A687910BCBE86_13</vt:lpwstr>
  </property>
  <property fmtid="{D5CDD505-2E9C-101B-9397-08002B2CF9AE}" pid="4" name="KSOTemplateDocerSaveRecord">
    <vt:lpwstr>eyJoZGlkIjoiZDg5MjkwNTdmMmUzNjc3Yzk0NTc0YzM2NjI3NjczNjAiLCJ1c2VySWQiOiIxNjQ5ODQ1NTc3In0=</vt:lpwstr>
  </property>
</Properties>
</file>