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The four Mecanum wheels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provides master position input, and a three-axis handle with three encoders provides orientation input. Frame calibration and pose mapping convert these inputs into arm joint commands. The framework connects mechanism design, kinematic modeling, model-based feedforward, and joint control to support system design and implementation. Physical demonstrations illustrate system operation.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Prior work includes wheel–leg coordination using rolling constraints and whole-body control [1], [2], and Mecanum quadrupeds for planar motion [3]. Mobile-manipulation studies address arm-constrained learning, cross-configuration control, and whole-body optimization [4]–[6]. Teleoperation has used mixed reality [7] and Delta-based six-degree-of-freedom masters [8]. Task-specific chassis–arm coordination and heterogeneous pose mapping remain important integration challenges.</w:t>
      </w:r>
    </w:p>
    <w:p ns2:paraId="17D6BEE5"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This paper presents an integrated Mecanum-wheeled quadrupedal mobile manipulator and heterogeneous teleoperation architecture. Its control system coordinates chassis locomotion, arm manipulation, and Delta-master input. Grasping and step-climbing demonstrations evaluate the integrated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5167A082"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794118F6" ns2:textId="77777777" w:rsidR="00FB7E9E" w:rsidRDefault="00000000">
      <w:pPr>
        <w:pStyle w:val="Normal"/>
        <w:snapToGrid w:val="0"/>
        <w:widowControl/>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r>
        <w:br w:type="column"/>
      </w:r>
    </w:p>
    <w:tbl>
      <w:tblPr>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 System modules and coordinate frames. (a) Robot: orange/cyan mark the arm/chassis; {s}, {b}, {leg}, and {0} denote the inertial frame, base center, illustrated hip, and arm base. Forward is rightward. (b) Teleoperation master: purple marks the controller; light blue/orange mark the Delta mechanism/three-axis handle. {D} is centered at O on the fixed platform; P marks the moving-platform center. All frames are right-handed.</w:t>
            </w:r>
          </w:p>
        </w:tc>
      </w:tr>
    </w:tbl>
    <w:p>
      <w:pPr>
        <w:spacing w:before="0" w:after="0" w:line="20" w:lineRule="exact"/>
        <w:ind w:firstLine="0"/>
        <w:rPr>
          <w:sz w:val="2"/>
        </w:rPr>
      </w:pPr>
    </w:p>
    <w:p ns2:paraId="642FC0A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2. System control workflow. (a) Master-to-arm pose mapping and arm control. (b) Chassis joint, Mecanum wheel, and feedforward branches. Contact-force allocation and force mapping generate feedforward torques, added to control torques. Solid/dashed lines denote forward/feedback paths;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19"/>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19"/>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19"/>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19"/>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19"/>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19"/>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19"/>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19"/>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19"/>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19"/>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19"/>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19"/>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19"/>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19"/>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19"/>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19"/>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19"/>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Slave arm base frame {A} is fixed to the arm base, corresponding to {0} in Fig. 1. Master base frame {D} is fixed to the Delta fixed-platform center, with axes defined in Section II-D.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the equivalent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wheel-axis 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At zero configuration, both links extend along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in {leg}; see Fig. 3(a).</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For the below-hip wheel-center branch,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Set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and the inverse angles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19"/>
          <w:szCs w:val="20"/>
          <w:color w:val="000000"/>
          <w:b w:val="0"/>
          <w:i w:val="0"/>
          <w:lang w:val="en-US"/>
        </w:rPr>
        <w:t xml:space="preserve">.</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19"/>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19"/>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3. Leg and Mecanum wheel structures. (a) Leg frames; angles show geometry, with zero configuration defined in the text. (b), (c) Type-A and Type-B wheels.</w:t>
            </w:r>
          </w:p>
        </w:tc>
      </w:tr>
    </w:tbl>
    <w:p>
      <w:pPr>
        <w:spacing w:before="0" w:after="0" w:line="20" w:lineRule="exact"/>
        <w:ind w:firstLine="0"/>
        <w:rPr>
          <w:sz w:val="2"/>
        </w:rPr>
      </w:pPr>
    </w:p>
    <w:p ns2:paraId="7941A21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(5)</w:t>
      </w:r>
    </w:p>
    <w:p ns2:paraId="6C796972"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19"/>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(6)</w:t>
      </w:r>
    </w:p>
    <w:p ns2:paraId="0707066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369D2F4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Equation (7)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Wheel free-body diagram with contact and axle forces, gravity, drive torque, and moment arm."/>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4. Wheel free-body diagram: contact/axle forces, gravity, drive torque, and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19"/>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19"/>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2A55581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19"/>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19"/>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(9)</w:t>
      </w:r>
    </w:p>
    <w:p ns2:paraId="31D0E06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19"/>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(10)</w:t>
      </w:r>
    </w:p>
    <w:p ns2:paraId="1C2255A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19"/>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19"/>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19"/>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19"/>
          <w:szCs w:val="20"/>
          <w:color w:val="000000"/>
          <w:b w:val="0"/>
          <w:i w:val="0"/>
          <w:lang w:val="en-US"/>
        </w:rPr>
        <w:t xml:space="preserve">, virtual work relates these generalized forces.</w:t>
      </w:r>
    </w:p>
    <w:p ns2:paraId="738EDCF1"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(11)</w:t>
      </w:r>
    </w:p>
    <w:p ns2:paraId="21299FD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19"/>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19"/>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Whole-body center of mass and four wheel-contact forces."/>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5. Whole-body center of mass and four wheel-contact forces; arrows show application points and the force/moment arm at contact i.</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Following the single-rigid-body modeling approach in [10], 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19"/>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19"/>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19"/>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(12)</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(13)</w:t>
      </w:r>
    </w:p>
    <w:p ns2:paraId="25E0EFD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19"/>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19"/>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19"/>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(14)</w:t>
      </w:r>
    </w:p>
    <w:p ns2:paraId="5E17A8DC"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19"/>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05FCF35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19"/>
          <w:szCs w:val="20"/>
          <w:color w:val="000000"/>
          <w:b w:val="0"/>
          <w:i w:val="0"/>
          <w:lang w:val="en-US"/>
        </w:rPr>
        <w:t xml:space="preserve"> to have full row rank. In the nominal four-wheel stance, the contact points are not all collinear, so the matrix has full row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(16)</w:t>
      </w:r>
    </w:p>
    <w:p ns2:paraId="1C17AC4C"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19"/>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19"/>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19"/>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19"/>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19"/>
          <w:szCs w:val="20"/>
          <w:color w:val="000000"/>
          <w:b w:val="0"/>
          <w:i w:val="0"/>
          <w:lang w:val="en-US"/>
        </w:rPr>
        <w:t xml:space="preserve">. Both correction and increment are in meters.</w:t>
      </w:r>
    </w:p>
    <w:p ns2:paraId="62DDC3E3"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19"/>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(17)</w:t>
      </w:r>
    </w:p>
    <w:p ns2:paraId="730C998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19"/>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19"/>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19"/>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19"/>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19"/>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19"/>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19"/>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Closed-loop chassis attitude controller."/>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6. Closed-loop chassis attitude control. Cascaded roll/pitch P loops and height-increment accumulation follow (16); (17) allocates both corrections to four legs. Joint-servo inner loops are combined.</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r>
      <w:r>
        <w:t>Arm Inverse Kinematics</w:t>
      </w:r>
    </w:p>
    <w:p>
      <w:pPr>
        <w:pStyle w:val="BodyText"/>
        <w:spacing w:after="16" w:line="211" w:lineRule="auto"/>
      </w:pPr>
      <w:r>
        <w:rPr>
          <w:sz w:val="19"/>
        </w:rPr>
        <w:t>Following Pieper’s analytical solution for a six-axis arm with a spherical wrist [9], the inverse kinematics separates wrist-center positioning from wrist orientation. Given the end-effector target p₀₆ and orientation R₀₆ in frame {0}, the wrist center is pW = p₀₆ − d₆R₀₆eᵧ, where eᵧ is the tool-frame +y unit vector and d₆ is the tool offset. Let ρW = √(xW² + yW²), ρA = √((ρW − a₁)² + (zW − d₁)²), γA = atan2(zW − d₁, ρW − a₁), ℓ₂ = a₂, and ℓ₃ = d₄. Here a₁, d₁, a₂, and d₄ are DH geometric parameters; d₄ locates the wrist center along z₃. The selected arm branch is:</w:t>
      </w:r>
    </w:p>
    <w:p>
      <w:pPr>
        <w:pStyle w:val="equation"/>
      </w:pPr>
      <ns8:oMathPara>
        <ns8:oMathParaPr>
          <ns8:jc ns8:val="center"/>
        </ns8:oMathParaPr>
        <ns8:oMath>
          <ns8:eqArr>
            <ns8:eqArrPr/>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1</ns8:t>
                  </ns8:r>
                </ns8:sub>
              </ns8:sSub>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y</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x</ns8:t>
                  </ns8:r>
                </ns8:e>
                <ns8:sub>
                  <ns8:r>
                    <ns8:rPr>
                      <ns8:sty ns8:val="p"/>
                    </ns8:rPr>
                    <w:rPr>
                      <w:rFonts w:ascii="Cambria Math" w:hAnsi="Cambria Math" w:eastAsia="Cambria Math" w:cs="Cambria Math"/>
                      <w:sz w:val="18"/>
                      <w:szCs w:val="18"/>
                    </w:rPr>
                    <ns8:t>W</ns8:t>
                  </ns8:r>
                </ns8:sub>
              </ns8:sSub>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2</ns8:t>
                  </ns8:r>
                </ns8:sub>
              </ns8:sSub>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γ</ns8:t>
                  </ns8:r>
                </ns8:e>
                <ns8:sub>
                  <ns8:r>
                    <ns8:rPr>
                      <ns8:sty ns8:val="p"/>
                    </ns8:rPr>
                    <w:rPr>
                      <w:rFonts w:ascii="Cambria Math" w:hAnsi="Cambria Math" w:eastAsia="Cambria Math" w:cs="Cambria Math"/>
                      <w:sz w:val="18"/>
                      <w:szCs w:val="18"/>
                    </w:rPr>
                    <ns8:t>A</ns8:t>
                  </ns8:r>
                </ns8:sub>
              </ns8:sSub>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Sub>
                </ns8:den>
              </ns8:f>
              <ns8:r>
                <ns8:rPr>
                  <ns8:sty ns8:val="p"/>
                </ns8:rPr>
                <w:rPr>
                  <w:rFonts w:ascii="Cambria Math" w:hAnsi="Cambria Math" w:eastAsia="Cambria Math" w:cs="Cambria Math"/>
                  <w:sz w:val="18"/>
                  <w:szCs w:val="18"/>
                </w:rPr>
                <ns8:t>,</ns8:t>
              </ns8:r>
            </ns8:e>
            <ns8:e>
              <ns8:sSub>
                <ns8:sSubPr/>
                <ns8:e>
                  <ns8:r>
                    <ns8:rPr/>
                    <w:rPr>
                      <w:rFonts w:ascii="Cambria Math" w:hAnsi="Cambria Math" w:eastAsia="Cambria Math" w:cs="Cambria Math"/>
                      <w:sz w:val="18"/>
                      <w:szCs w:val="18"/>
                    </w:rPr>
                    <ns8:t>q</ns8:t>
                  </ns8:r>
                </ns8:e>
                <ns8:sub>
                  <ns8:r>
                    <ns8:rPr>
                      <ns8:sty ns8:val="p"/>
                    </ns8:rPr>
                    <w:rPr>
                      <w:rFonts w:ascii="Cambria Math" w:hAnsi="Cambria Math" w:eastAsia="Cambria Math" w:cs="Cambria Math"/>
                      <w:sz w:val="18"/>
                      <w:szCs w:val="18"/>
                    </w:rPr>
                    <ns8:t>a,</ns8:t>
                  </ns8:r>
                  <ns8:r>
                    <ns8:rPr/>
                    <w:rPr>
                      <w:rFonts w:ascii="Cambria Math" w:hAnsi="Cambria Math" w:eastAsia="Cambria Math" w:cs="Cambria Math"/>
                      <w:sz w:val="18"/>
                      <w:szCs w:val="18"/>
                    </w:rPr>
                    <ns8:t>3</ns8:t>
                  </ns8:r>
                </ns8:sub>
              </ns8:sSub>
              <ns8:r>
                <ns8:rPr>
                  <ns8:sty ns8:val="p"/>
                </ns8:rPr>
                <w:rPr>
                  <w:rFonts w:ascii="Cambria Math" w:hAnsi="Cambria Math" w:eastAsia="Cambria Math" w:cs="Cambria Math"/>
                  <w:sz w:val="18"/>
                  <w:szCs w:val="18"/>
                </w:rPr>
                <ns8:t>=−</ns8:t>
              </ns8:r>
              <ns8:r>
                <ns8:rPr/>
                <w:rPr>
                  <w:rFonts w:ascii="Cambria Math" w:hAnsi="Cambria Math" w:eastAsia="Cambria Math" w:cs="Cambria Math"/>
                  <w:sz w:val="18"/>
                  <w:szCs w:val="18"/>
                </w:rPr>
                <ns8:t>π</ns8:t>
              </ns8:r>
              <ns8:r>
                <ns8:rPr>
                  <ns8:sty ns8:val="p"/>
                </ns8:rPr>
                <w:rPr>
                  <w:rFonts w:ascii="Cambria Math" w:hAnsi="Cambria Math" w:eastAsia="Cambria Math" w:cs="Cambria Math"/>
                  <w:sz w:val="18"/>
                  <w:szCs w:val="18"/>
                </w:rPr>
                <ns8:t>+arccos</ns8:t>
              </ns8:r>
              <ns8:f>
                <ns8:fPr/>
                <ns8:num>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up>
                      <ns8:r>
                        <ns8:rPr/>
                        <w:rPr>
                          <w:rFonts w:ascii="Cambria Math" w:hAnsi="Cambria Math" w:eastAsia="Cambria Math" w:cs="Cambria Math"/>
                          <w:sz w:val="18"/>
                          <w:szCs w:val="18"/>
                        </w:rPr>
                        <ns8:t>2</ns8:t>
                      </ns8:r>
                    </ns8:sup>
                  </ns8:sSubSup>
                  <ns8:r>
                    <ns8:rPr>
                      <ns8:sty ns8:val="p"/>
                    </ns8:rPr>
                    <w:rPr>
                      <w:rFonts w:ascii="Cambria Math" w:hAnsi="Cambria Math" w:eastAsia="Cambria Math" w:cs="Cambria Math"/>
                      <w:sz w:val="18"/>
                      <w:szCs w:val="18"/>
                    </w:rPr>
                    <ns8:t>−</ns8:t>
                  </ns8:r>
                  <ns8:sSubSup>
                    <ns8:sSubSupPr/>
                    <ns8:e>
                      <ns8:r>
                        <ns8:rPr/>
                        <w:rPr>
                          <w:rFonts w:ascii="Cambria Math" w:hAnsi="Cambria Math" w:eastAsia="Cambria Math" w:cs="Cambria Math"/>
                          <w:sz w:val="18"/>
                          <w:szCs w:val="18"/>
                        </w:rPr>
                        <ns8:t>ρ</ns8:t>
                      </ns8:r>
                    </ns8:e>
                    <ns8:sub>
                      <ns8:r>
                        <ns8:rPr>
                          <ns8:sty ns8:val="p"/>
                        </ns8:rPr>
                        <w:rPr>
                          <w:rFonts w:ascii="Cambria Math" w:hAnsi="Cambria Math" w:eastAsia="Cambria Math" w:cs="Cambria Math"/>
                          <w:sz w:val="18"/>
                          <w:szCs w:val="18"/>
                        </w:rPr>
                        <ns8:t>A</ns8:t>
                      </ns8:r>
                    </ns8:sub>
                    <ns8:sup>
                      <ns8:r>
                        <ns8:rPr/>
                        <w:rPr>
                          <w:rFonts w:ascii="Cambria Math" w:hAnsi="Cambria Math" w:eastAsia="Cambria Math" w:cs="Cambria Math"/>
                          <w:sz w:val="18"/>
                          <w:szCs w:val="18"/>
                        </w:rPr>
                        <ns8:t>2</ns8:t>
                      </ns8:r>
                    </ns8:sup>
                  </ns8:sSubSup>
                </ns8:num>
                <ns8:den>
                  <ns8:r>
                    <ns8:rPr/>
                    <w:rPr>
                      <w:rFonts w:ascii="Cambria Math" w:hAnsi="Cambria Math" w:eastAsia="Cambria Math" w:cs="Cambria Math"/>
                      <w:sz w:val="18"/>
                      <w:szCs w:val="18"/>
                    </w:rPr>
                    <ns8:t>2</ns8:t>
                  </ns8:r>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2</ns8:t>
                      </ns8:r>
                    </ns8:sub>
                  </ns8:sSub>
                  <ns8:sSub>
                    <ns8:sSubPr/>
                    <ns8:e>
                      <ns8:r>
                        <ns8:rPr/>
                        <w:rPr>
                          <w:rFonts w:ascii="Cambria Math" w:hAnsi="Cambria Math" w:eastAsia="Cambria Math" w:cs="Cambria Math"/>
                          <w:sz w:val="18"/>
                          <w:szCs w:val="18"/>
                        </w:rPr>
                        <ns8:t>ℓ</ns8:t>
                      </ns8:r>
                    </ns8:e>
                    <ns8:sub>
                      <ns8:r>
                        <ns8:rPr/>
                        <w:rPr>
                          <w:rFonts w:ascii="Cambria Math" w:hAnsi="Cambria Math" w:eastAsia="Cambria Math" w:cs="Cambria Math"/>
                          <w:sz w:val="18"/>
                          <w:szCs w:val="18"/>
                        </w:rPr>
                        <ns8:t>3</ns8:t>
                      </ns8:r>
                    </ns8:sub>
                  </ns8:sSub>
                </ns8:den>
              </ns8:f>
              <ns8:r>
                <ns8:rPr>
                  <ns8:sty ns8:val="p"/>
                </ns8:rPr>
                <w:rPr>
                  <w:rFonts w:ascii="Cambria Math" w:hAnsi="Cambria Math" w:eastAsia="Cambria Math" w:cs="Cambria Math"/>
                  <w:sz w:val="18"/>
                  <w:szCs w:val="18"/>
                </w:rPr>
                <ns8:t>.</ns8:t>
              </ns8:r>
            </ns8:e>
          </ns8:eqArr>
        </ns8:oMath>
      </ns8:oMathPara>
    </w:p>
    <w:p>
      <w:pPr>
        <w:pStyle w:val="BodyText"/>
        <w:spacing w:after="16" w:line="211" w:lineRule="auto"/>
      </w:pPr>
      <w:r>
        <w:rPr>
          <w:sz w:val="19"/>
        </w:rPr>
        <w:t>Using the first three joint angles to form R₀₃ from the DH model, define R₃₆ = R₀₃ᵀR₀₆ = [n o a], whose columns are n, o, and a. For sin θ₅ ≠ 0, the wrist branches are:</w:t>
      </w:r>
    </w:p>
    <w:p>
      <w:pPr>
        <w:pStyle w:val="equation"/>
      </w:pPr>
      <ns8:oMathPara>
        <ns8:oMathParaPr>
          <ns8:jc ns8:val="center"/>
        </ns8:oMathParaPr>
        <ns8:oMath>
          <ns8:eqArr>
            <ns8:eqArrPr/>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=±arccos(−</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4</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y</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o</ns8:t>
                  </ns8:r>
                </ns8:e>
                <ns8:sub>
                  <ns8:r>
                    <ns8:rPr/>
                    <w:rPr>
                      <w:rFonts w:ascii="Cambria Math" w:hAnsi="Cambria Math" w:eastAsia="Cambria Math" w:cs="Cambria Math"/>
                      <w:sz w:val="18"/>
                      <w:szCs w:val="18"/>
                    </w:rPr>
                    <ns8:t>x</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6</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=atan2(</ns8:t>
              </ns8:r>
              <ns8:sSub>
                <ns8:sSubPr/>
                <ns8:e>
                  <ns8:r>
                    <ns8:rPr/>
                    <w:rPr>
                      <w:rFonts w:ascii="Cambria Math" w:hAnsi="Cambria Math" w:eastAsia="Cambria Math" w:cs="Cambria Math"/>
                      <w:sz w:val="18"/>
                      <w:szCs w:val="18"/>
                    </w:rPr>
                    <ns8:t>a</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sSub>
                <ns8:sSubPr/>
                <ns8:e>
                  <ns8:r>
                    <ns8:rPr/>
                    <w:rPr>
                      <w:rFonts w:ascii="Cambria Math" w:hAnsi="Cambria Math" w:eastAsia="Cambria Math" w:cs="Cambria Math"/>
                      <w:sz w:val="18"/>
                      <w:szCs w:val="18"/>
                    </w:rPr>
                    <ns8:t>n</ns8:t>
                  </ns8:r>
                </ns8:e>
                <ns8:sub>
                  <ns8:r>
                    <ns8:rPr/>
                    <w:rPr>
                      <w:rFonts w:ascii="Cambria Math" w:hAnsi="Cambria Math" w:eastAsia="Cambria Math" w:cs="Cambria Math"/>
                      <w:sz w:val="18"/>
                      <w:szCs w:val="18"/>
                    </w:rPr>
                    <ns8:t>z</ns8:t>
                  </ns8:r>
                </ns8:sub>
              </ns8:sSub>
              <ns8:r>
                <ns8:rPr>
                  <ns8:sty ns8:val="p"/>
                </ns8:rPr>
                <w:rPr>
                  <w:rFonts w:ascii="Cambria Math" w:hAnsi="Cambria Math" w:eastAsia="Cambria Math" w:cs="Cambria Math"/>
                  <w:sz w:val="18"/>
                  <w:szCs w:val="18"/>
                </w:rPr>
                <ns8:t>sin</ns8:t>
              </ns8:r>
              <ns8:sSubSup>
                <ns8:sSubSupPr/>
                <ns8:e>
                  <ns8:r>
                    <ns8:rPr/>
                    <w:rPr>
                      <w:rFonts w:ascii="Cambria Math" w:hAnsi="Cambria Math" w:eastAsia="Cambria Math" w:cs="Cambria Math"/>
                      <w:sz w:val="18"/>
                      <w:szCs w:val="18"/>
                    </w:rPr>
                    <ns8:t>θ</ns8:t>
                  </ns8:r>
                </ns8:e>
                <ns8:sub>
                  <ns8:r>
                    <ns8:rPr/>
                    <w:rPr>
                      <w:rFonts w:ascii="Cambria Math" w:hAnsi="Cambria Math" w:eastAsia="Cambria Math" w:cs="Cambria Math"/>
                      <w:sz w:val="18"/>
                      <w:szCs w:val="18"/>
                    </w:rPr>
                    <ns8:t>5</ns8:t>
                  </ns8:r>
                </ns8:sub>
                <ns8:sup>
                  <ns8:r>
                    <ns8:rPr>
                      <ns8:sty ns8:val="p"/>
                    </ns8:rPr>
                    <w:rPr>
                      <w:rFonts w:ascii="Cambria Math" w:hAnsi="Cambria Math" w:eastAsia="Cambria Math" w:cs="Cambria Math"/>
                      <w:sz w:val="18"/>
                      <w:szCs w:val="18"/>
                    </w:rPr>
                    <ns8:t>(±)</ns8:t>
                  </ns8:r>
                </ns8:sup>
              </ns8:sSubSup>
              <ns8:r>
                <ns8:rPr>
                  <ns8:sty ns8:val="p"/>
                </ns8:rPr>
                <w:rPr>
                  <w:rFonts w:ascii="Cambria Math" w:hAnsi="Cambria Math" w:eastAsia="Cambria Math" w:cs="Cambria Math"/>
                  <w:sz w:val="18"/>
                  <w:szCs w:val="18"/>
                </w:rPr>
                <ns8:t>).</ns8:t>
              </ns8:r>
            </ns8:e>
          </ns8:eqArr>
        </ns8:oMath>
      </ns8:oMathPara>
    </w:p>
    <w:p>
      <w:pPr>
        <w:pStyle w:val="BodyText"/>
        <w:spacing w:after="16" w:line="211" w:lineRule="auto"/>
      </w:pPr>
      <w:r>
        <w:rPr>
          <w:sz w:val="19"/>
        </w:rPr>
        <w:t>The actual wrist joints are qₐ,j = θⱼ − θ₀,j (j = 4, 5, 6), where θ₀,j are the DH zero offsets. Forward-kinematics substitution verifies each candidate; the nearest feasible branch to the previous joint state is selected.</w:t>
      </w: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a three-axis handle with three encoder-equipped revolute joints on the moving platform for orientation input (Fig. 7). Parallelogram passive arms keep both platforms parallel, separating position and orientation. Fig. 7 identifies the Delta mechanism, handle, and rotation axes. After encoder zero and direction calibration, joints j1–j3 provide moving-axis roll, pitch, and yaw (RPY), respectively.</w:t>
      </w:r>
    </w:p>
    <w:p ns2:paraId="06C3F0A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19"/>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19"/>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19"/>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19"/>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19"/>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working side. Fig. 8 shows the geometry. Its symmetric single-limb view defines angles and lengths; the dashed segment represents the equivalent length constraint in (19).</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2450603" cy="1633736"/>
                  <wp:effectExtent l="0" t="0" r="7620" b="8255"/>
                  <wp:docPr id="1009" name="Fig. 7" descr="Delta translation mechanism, three-axis handle, rotation axes, and parallelogram constraint."/>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7. Teleoperation master and rotation axes. (a) Delta mechanism; highlighted parallelogram links keep the platforms parallel. (b) Three-axis handle, with joints and rotation axes shown from mount to grip.</w:t>
            </w:r>
          </w:p>
        </w:tc>
      </w:tr>
    </w:tbl>
    <w:p>
      <w:pPr>
        <w:spacing w:before="0" w:after="0" w:line="20" w:lineRule="exact"/>
        <w:ind w:firstLine="0"/>
        <w:rPr>
          <w:sz w:val="2"/>
        </w:rPr>
      </w:pPr>
    </w:p>
    <w:p ns2:paraId="4E1A4874"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2F97411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3118AC29"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2D0A6DBC"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(21)</w:t>
      </w:r>
    </w:p>
    <w:p ns2:paraId="1984F696"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19"/>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rPr>
          <w:sz w:val="19"/>
        </w:rP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1764435" cy="1179951"/>
                  <wp:effectExtent l="0" t="0" r="0" b="0"/>
                  <wp:docPr id="1010" name="Fig. 8" descr="Delta three-limb and single-limb geometry with the base origin at the fixed-platform center."/>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8. Delta geometry. (a) Three limbs and right-handed frame {D}: O is the fixed-platform center, the +x axis is normal to the platform and points from the moving platform toward the fixed platform, +z toward A1, and P marks the moving-platform center. Parallelogram links keep platforms parallel. (b) Symmetric limb section with radii,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19"/>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19"/>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6D6805D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Select the candidate root satisfying the working-side and continuity conditions.</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provides master position. After encoder zero and direction calibration, joints j1–j3 specify moving-axis roll, pitch, and yaw, respectively; the corresponding angles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The handle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7E38FCCE"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19"/>
          <w:szCs w:val="20"/>
          <w:color w:val="000000"/>
          <w:b w:val="0"/>
          <w:i w:val="0"/>
          <w:lang w:val="en-US"/>
        </w:rPr>
        <w:t xml:space="preserve"> is the fixed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19"/>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19"/>
          <w:szCs w:val="20"/>
          <w:color w:val="000000"/>
          <w:b w:val="0"/>
          <w:i w:val="0"/>
          <w:lang w:val="en-US"/>
        </w:rPr>
        <w:t xml:space="preserve"> when the zero axes align.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19"/>
          <w:szCs w:val="20"/>
          <w:color w:val="000000"/>
          <w:b w:val="0"/>
          <w:i w:val="0"/>
          <w:lang w:val="en-US"/>
        </w:rPr>
        <w:t xml:space="preserve"> maps handle-frame components into {D}.</w:t>
      </w:r>
    </w:p>
    <w:p ns2:paraId="6B4762DE"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19"/>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19"/>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(24)</w:t>
      </w:r>
    </w:p>
    <w:p ns2:paraId="6A570EEF"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19"/>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19"/>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 with the same moving-axis X–Y–Z convention.</w:t>
      </w:r>
    </w:p>
    <w:p ns2:paraId="28E4E767"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Combining the position and orientation targets in (24)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49B2B100"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keepNext/>
      </w:pPr>
      <w:r>
        <w:rPr>
          <w:rFonts w:ascii="Times New Roman" w:hAnsi="Times New Roman" w:eastAsia="SimSun" w:cs="Times New Roman"/>
          <w:sz w:val="19"/>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19"/>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(26)</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139022" cy="845019"/>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139022" cy="844531"/>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139022" cy="844531"/>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139022" cy="844531"/>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9. Delta-master teleoperation. (a) Forward grasp. (b) Rightward grasp. (c) Upward tilt. (d) Downward tilt. Each panel shows the operator/master and robot/arm;  and  denote the handle and gripper-tool frames.</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819072" cy="612554"/>
                  <wp:effectExtent l="0" t="0" r="0" b="3175"/>
                  <wp:docPr id="1015" name="Fig. 10(a)"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819072" cy="612554"/>
                  <wp:effectExtent l="0" t="0" r="0" b="3175"/>
                  <wp:docPr id="1016" name="Fig. 10(b)"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819072" cy="655258"/>
                  <wp:effectExtent l="0" t="0" r="0" b="1905"/>
                  <wp:docPr id="1017" name="Fig. 10(c)"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819072" cy="655258"/>
                  <wp:effectExtent l="0" t="0" r="0" b="1905"/>
                  <wp:docPr id="1018" name="Fig. 10(d)"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Fig. 10. Two-step climbing sequence (left-to-right by row; times relative to video): (a), (b) first step; (c), (d)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three-axis, three-encoder orientation input, and frame calibration and position scaling connect operator and robot.</w:t>
      </w:r>
    </w:p>
    <w:p ns2:paraId="49D98658" ns2:textId="77777777" w:rsidR="00FB7E9E" w:rsidRDefault="00000000">
      <w:pPr>
        <w:pStyle w:val="BodyText"/>
        <w:snapToGrid w:val="0"/>
        <w:widowControl/>
        <w:spacing w:after="16" w:line="211" w:lineRule="auto"/>
        <w:rPr>
          <w:rFonts w:ascii="Times New Roman" w:hAnsi="Times New Roman" w:eastAsia="SimSun" w:cs="Times New Roman"/>
          <w:sz w:val="20"/>
          <w:szCs w:val="20"/>
          <w:color w:val="000000"/>
        </w:rPr>
      </w:pPr>
      <w:r>
        <w:rPr>
          <w:rFonts w:ascii="Times New Roman" w:hAnsi="Times New Roman" w:eastAsia="SimSun" w:cs="Times New Roman"/>
          <w:sz w:val="19"/>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ns2:paraId="4A7F63CD" ns2:textId="77777777" w:rsidR="00FB7E9E" w:rsidRDefault="00000000">
      <w:pPr>
        <w:pStyle w:val="references"/>
        <w:snapToGrid w:val="0"/>
        <w:widowControl/>
        <w:numPr>
          <w:ilvl w:val="0"/>
          <w:numId w:val="8"/>
        </w:numPr>
        <w:keepLines/>
        <w:spacing w:after="0" w:line="216" w:lineRule="auto"/>
        <w:ind w:left="360" w:hanging="360"/>
        <w:rPr>
          <w:rFonts w:ascii="Times New Roman" w:hAnsi="Times New Roman" w:eastAsia="SimSun" w:cs="Times New Roman"/>
          <w:sz w:val="16"/>
          <w:szCs w:val="16"/>
          <w:color w:val="000000"/>
          <w:b w:val="0"/>
          <w:bCs w:val="0"/>
          <w:i w:val="0"/>
          <w:iCs w:val="0"/>
        </w:rPr>
      </w:pPr>
      <w:r>
        <w:t xml:space="preserve">Z. Bian and X. Wang, </w:t>
      </w:r>
      <w:r>
        <w:rPr>
          <w:i/>
        </w:rPr>
        <w:t>Quadruped Robot Control Algorithms: Modeling, Control, and Practice</w:t>
      </w:r>
      <w:r>
        <w:t xml:space="preserve"> (in Chinese). Beijing, China: China Machine Press, 2023.</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6" w:line="211" w:lineRule="auto"/>
      <w:ind w:firstLine="288"/>
      <w:jc w:val="both"/>
    </w:pPr>
    <w:rPr>
      <w:spacing w:val="-1"/>
      <w:sz w:val="19"/>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40" w:after="40" w:line="300" w:lineRule="auto"/>
    </w:pPr>
    <w:rPr>
      <w:rFonts w:ascii="Symbol" w:hAnsi="Symbol" w:cs="Symbol"/>
    </w:rPr>
  </w:style>
  <w:style w:type="paragraph" w:customStyle="1" w:styleId="figurecaption">
    <w:name w:val="figure caption"/>
    <w:rsid w:val="005B0344"/>
    <w:p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0" w:line="17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