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9.png" ContentType="image/png"/>
  <Override PartName="/word/media/rId16.png" ContentType="image/png"/>
  <Override PartName="/word/media/rId20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rPr>
          <w:b/>
          <w:bCs/>
        </w:rPr>
        <w:t xml:space="preserve">Silver Price Forecasting and Algorithmic Trading:</w:t>
      </w:r>
      <w:r>
        <w:br/>
      </w:r>
      <w:r>
        <w:rPr>
          <w:b/>
          <w:bCs/>
        </w:rPr>
        <w:t xml:space="preserve">A Multimodal VMD–Entropy–LASSO Framework</w:t>
      </w:r>
      <w:r>
        <w:br/>
      </w:r>
      <w:r>
        <w:rPr>
          <w:b/>
          <w:bCs/>
        </w:rPr>
        <w:t xml:space="preserve">for the Indian Commodity Market</w:t>
      </w:r>
      <w:r>
        <w:br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height 0.8pt</w:t>
      </w:r>
      <w:r>
        <w:t xml:space="preserve"> </w:t>
      </w:r>
      <w:r>
        <w:t xml:space="preserve">MCX Silver Futures (INR/kg)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Weekly 2000–2026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951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80/20 Train–Test</w:t>
      </w:r>
      <w:r>
        <w:br/>
      </w:r>
      <w:r>
        <w:t xml:space="preserve">Adapted from Liu et al. (2025)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Applied to the Indian Commodity Market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height 0.8pt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height 0.4pt</w:t>
      </w:r>
    </w:p>
    <w:p>
      <w:pPr>
        <w:numPr>
          <w:ilvl w:val="0"/>
          <w:numId w:val="1001"/>
        </w:numPr>
      </w:pPr>
      <w:r>
        <w:t xml:space="preserve">First application of the VMD–ApEn–LASSO framework to MCX Silver (INR/kg),</w:t>
      </w:r>
      <w:r>
        <w:t xml:space="preserve"> </w:t>
      </w:r>
      <w:r>
        <w:t xml:space="preserve">incorporating India-specific features: USD/INR, India VIX, MCX Gold, India EPU,</w:t>
      </w:r>
      <w:r>
        <w:t xml:space="preserve"> </w:t>
      </w:r>
      <w:r>
        <w:t xml:space="preserve">and a 12-keyword Google Trends composite index.</w:t>
      </w:r>
    </w:p>
    <w:p>
      <w:pPr>
        <w:numPr>
          <w:ilvl w:val="0"/>
          <w:numId w:val="1001"/>
        </w:numPr>
      </w:pPr>
      <w:r>
        <w:t xml:space="preserve">Adaptive complexity-aware model assignment: ARIMA for 2 low-complexity IMFs</w:t>
      </w:r>
      <w:r>
        <w:t xml:space="preserve"> </w:t>
      </w:r>
      <w:r>
        <w:t xml:space="preserve">(86.1% of total variance) and LSTM for 7 high-complexity IMFs, guided by</w:t>
      </w:r>
      <w:r>
        <w:t xml:space="preserve"> </w:t>
      </w:r>
      <w:r>
        <w:t xml:space="preserve">Approximate Entropy thresholding.</w:t>
      </w:r>
    </w:p>
    <w:p>
      <w:pPr>
        <w:numPr>
          <w:ilvl w:val="0"/>
          <w:numId w:val="1001"/>
        </w:numPr>
      </w:pPr>
      <w:r>
        <w:t xml:space="preserve">Proposed model achieves RMSE of 63,709 INR/kg (best among decomposition</w:t>
      </w:r>
      <w:r>
        <w:t xml:space="preserve"> </w:t>
      </w:r>
      <w:r>
        <w:t xml:space="preserve">models), outperforming VMD-ARIMA (64,510) and CEEMDAN-ARIMA (64,372);</w:t>
      </w:r>
      <w:r>
        <w:t xml:space="preserve"> </w:t>
      </w:r>
      <w:r>
        <w:t xml:space="preserve">DM test confirms superiority at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 </w:t>
      </w:r>
      <w:r>
        <w:t xml:space="preserve">(</w:t>
      </w:r>
      <m:oMath>
        <m:r>
          <m:t>D</m:t>
        </m:r>
        <m:r>
          <m:t>M</m:t>
        </m:r>
        <m:r>
          <m:rPr>
            <m:sty m:val="p"/>
          </m:rPr>
          <m:t>=</m:t>
        </m:r>
        <m:sSup>
          <m:e>
            <m:r>
              <m:t>5.89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) over VMD-ARIMA.</w:t>
      </w:r>
    </w:p>
    <w:p>
      <w:pPr>
        <w:numPr>
          <w:ilvl w:val="0"/>
          <w:numId w:val="1001"/>
        </w:numPr>
      </w:pPr>
      <w:r>
        <w:t xml:space="preserve">Interval-constrained trading strategy yields 187.2% cumulative return</w:t>
      </w:r>
      <w:r>
        <w:t xml:space="preserve"> </w:t>
      </w:r>
      <w:r>
        <w:t xml:space="preserve">(Sharpe 1.759, max DD 27.7%) under Scheme 1; Scheme 1</w:t>
      </w:r>
      <m:oMath>
        <m:r>
          <m:rPr>
            <m:sty m:val="p"/>
          </m:rPr>
          <m:t>′</m:t>
        </m:r>
      </m:oMath>
      <w:r>
        <w:t xml:space="preserve"> </w:t>
      </w:r>
      <w:r>
        <w:t xml:space="preserve">reduces</w:t>
      </w:r>
      <w:r>
        <w:t xml:space="preserve"> </w:t>
      </w:r>
      <w:r>
        <w:t xml:space="preserve">drawdown to 10.9% with 30 filtered trades (Sharpe 0.701).</w:t>
      </w:r>
    </w:p>
    <w:p>
      <w:pPr>
        <w:numPr>
          <w:ilvl w:val="0"/>
          <w:numId w:val="1001"/>
        </w:numPr>
      </w:pPr>
      <w:r>
        <w:t xml:space="preserve">India EPU selected in 8/9 IMFs via LASSO, confirming domestic policy</w:t>
      </w:r>
      <w:r>
        <w:t xml:space="preserve"> </w:t>
      </w:r>
      <w:r>
        <w:t xml:space="preserve">uncertainty as the dominant cross-frequency driver of MCX silver prices.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Silver occupies a unique dual role as a safe-haven precious metal and a critical</w:t>
      </w:r>
      <w:r>
        <w:t xml:space="preserve"> </w:t>
      </w:r>
      <w:r>
        <w:t xml:space="preserve">industrial commodity in the Indian market. This paper adapts the multimodal</w:t>
      </w:r>
      <w:r>
        <w:t xml:space="preserve"> </w:t>
      </w:r>
      <w:r>
        <w:t xml:space="preserve">decomposition-ensemble framework of Liu et al. (2025) to MCX Silver futures (INR/kg)</w:t>
      </w:r>
      <w:r>
        <w:t xml:space="preserve"> </w:t>
      </w:r>
      <w:r>
        <w:t xml:space="preserve">over 951 weekly observations from 2000 to 2026. The framework sequentially applies</w:t>
      </w:r>
      <w:r>
        <w:t xml:space="preserve"> </w:t>
      </w:r>
      <w:r>
        <w:t xml:space="preserve">Variational Mode Decomposition (VMD) to extract nine Intrinsic Mode Functions (IMFs),</w:t>
      </w:r>
      <w:r>
        <w:t xml:space="preserve"> </w:t>
      </w:r>
      <w:r>
        <w:t xml:space="preserve">Approximate Entropy (ApEn) to classify each IMF by signal complexity, LASSO regression</w:t>
      </w:r>
      <w:r>
        <w:t xml:space="preserve"> </w:t>
      </w:r>
      <w:r>
        <w:t xml:space="preserve">for adaptive per-IMF feature selection, and a hybrid ARIMA/LSTM ensemble for point</w:t>
      </w:r>
      <w:r>
        <w:t xml:space="preserve"> </w:t>
      </w:r>
      <w:r>
        <w:t xml:space="preserve">forecasting. An interval-constrained trading strategy integrates point predictions with</w:t>
      </w:r>
      <w:r>
        <w:t xml:space="preserve"> </w:t>
      </w:r>
      <m:oMath>
        <m:r>
          <m:rPr>
            <m:sty m:val="p"/>
          </m:rPr>
          <m:t>±</m:t>
        </m:r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 bounds to suppress trades during high-uncertainty weeks. On the</w:t>
      </w:r>
      <w:r>
        <w:t xml:space="preserve"> </w:t>
      </w:r>
      <w:r>
        <w:t xml:space="preserve">108-week test set (March 2024 – March 2026), the Proposed model achieves RMSE of</w:t>
      </w:r>
      <w:r>
        <w:t xml:space="preserve"> </w:t>
      </w:r>
      <w:r>
        <w:t xml:space="preserve">63,709 INR/kg, the lowest among all decomposition-based models. The Diebold–Mariano</w:t>
      </w:r>
      <w:r>
        <w:t xml:space="preserve"> </w:t>
      </w:r>
      <w:r>
        <w:t xml:space="preserve">test confirms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 </w:t>
      </w:r>
      <w:r>
        <w:t xml:space="preserve">superiority over VMD-ARIMA (</w:t>
      </w:r>
      <m:oMath>
        <m:r>
          <m:t>D</m:t>
        </m:r>
        <m:r>
          <m:t>M</m:t>
        </m:r>
        <m:r>
          <m:rPr>
            <m:sty m:val="p"/>
          </m:rPr>
          <m:t>=</m:t>
        </m:r>
        <m:sSup>
          <m:e>
            <m:r>
              <m:t>5.89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). In trading</w:t>
      </w:r>
      <w:r>
        <w:t xml:space="preserve"> </w:t>
      </w:r>
      <w:r>
        <w:t xml:space="preserve">simulation, Scheme 1</w:t>
      </w:r>
      <m:oMath>
        <m:r>
          <m:rPr>
            <m:sty m:val="p"/>
          </m:rPr>
          <m:t>′</m:t>
        </m:r>
      </m:oMath>
      <w:r>
        <w:t xml:space="preserve"> </w:t>
      </w:r>
      <w:r>
        <w:t xml:space="preserve">achieves 15.2% cumulative return with maximum drawdown of</w:t>
      </w:r>
      <w:r>
        <w:t xml:space="preserve"> </w:t>
      </w:r>
      <w:r>
        <w:t xml:space="preserve">10.9% and annualised Sharpe of 0.701 across 30 filtered trades, demonstrating</w:t>
      </w:r>
      <w:r>
        <w:t xml:space="preserve"> </w:t>
      </w:r>
      <w:r>
        <w:t xml:space="preserve">principled capital preservation during the 2024–2026 structural regime change.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Silver price forecasting; Variational Mode Decomposition (VMD); Approximate Entropy;</w:t>
      </w:r>
      <w:r>
        <w:t xml:space="preserve"> </w:t>
      </w:r>
      <w:r>
        <w:t xml:space="preserve">LASSO feature selection; LSTM; ARIMA; Indian commodity market; MCX; Google Trends;</w:t>
      </w:r>
      <w:r>
        <w:t xml:space="preserve"> </w:t>
      </w:r>
      <w:r>
        <w:t xml:space="preserve">India EPU; Interval-constrained trading strategy; Diebold–Mariano test</w:t>
      </w:r>
    </w:p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Silver is among the most actively traded commodities on the Multi Commodity Exchange</w:t>
      </w:r>
      <w:r>
        <w:t xml:space="preserve"> </w:t>
      </w:r>
      <w:r>
        <w:t xml:space="preserve">of India (MCX), serving simultaneously as a safe-haven asset, an industrial input for</w:t>
      </w:r>
      <w:r>
        <w:t xml:space="preserve"> </w:t>
      </w:r>
      <w:r>
        <w:t xml:space="preserve">electronics and photovoltaics, and a cultural store of value tied to festival and</w:t>
      </w:r>
      <w:r>
        <w:t xml:space="preserve"> </w:t>
      </w:r>
      <w:r>
        <w:t xml:space="preserve">wedding demand. Its price (INR/kg) is shaped by global forces—international gold</w:t>
      </w:r>
      <w:r>
        <w:t xml:space="preserve"> </w:t>
      </w:r>
      <w:r>
        <w:t xml:space="preserve">prices, Brent crude, US dollar strength—and distinctly domestic factors: USD/INR</w:t>
      </w:r>
      <w:r>
        <w:t xml:space="preserve"> </w:t>
      </w:r>
      <w:r>
        <w:t xml:space="preserve">exchange rate, Nifty 50 equity sentiment, India VIX, import policy uncertainty (India</w:t>
      </w:r>
      <w:r>
        <w:t xml:space="preserve"> </w:t>
      </w:r>
      <w:r>
        <w:t xml:space="preserve">EPU Index), and retail investor attention (Google Trends). This multi-factor,</w:t>
      </w:r>
      <w:r>
        <w:t xml:space="preserve"> </w:t>
      </w:r>
      <w:r>
        <w:t xml:space="preserve">nonlinear, non-stationary structure makes silver price forecasting a challenging open</w:t>
      </w:r>
      <w:r>
        <w:t xml:space="preserve"> </w:t>
      </w:r>
      <w:r>
        <w:t xml:space="preserve">problem with direct implications for hedgers, portfolio managers, and commodity trading</w:t>
      </w:r>
      <w:r>
        <w:t xml:space="preserve"> </w:t>
      </w:r>
      <w:r>
        <w:t xml:space="preserve">firms.</w:t>
      </w:r>
    </w:p>
    <w:p>
      <w:pPr>
        <w:pStyle w:val="BodyText"/>
      </w:pPr>
      <w:r>
        <w:t xml:space="preserve">Decomposition-ensemble methods have become the leading paradigm for commodity price</w:t>
      </w:r>
      <w:r>
        <w:t xml:space="preserve"> </w:t>
      </w:r>
      <w:r>
        <w:t xml:space="preserve">forecasting. Variational Mode Decomposition (VMD) outperforms EMD-based variants by</w:t>
      </w:r>
      <w:r>
        <w:t xml:space="preserve"> </w:t>
      </w:r>
      <w:r>
        <w:t xml:space="preserve">reducing mode mixing through variational optimisation. Liu et al. (2025) advanced this</w:t>
      </w:r>
      <w:r>
        <w:t xml:space="preserve"> </w:t>
      </w:r>
      <w:r>
        <w:t xml:space="preserve">paradigm for Chinese carbon markets by combining VMD with Approximate Entropy complexity</w:t>
      </w:r>
      <w:r>
        <w:t xml:space="preserve"> </w:t>
      </w:r>
      <w:r>
        <w:t xml:space="preserve">classification, LASSO feature selection, and adaptive ARIMA/LSTM assignment, extended</w:t>
      </w:r>
      <w:r>
        <w:t xml:space="preserve"> </w:t>
      </w:r>
      <w:r>
        <w:t xml:space="preserve">to an interval-constrained trading strategy. Figure 1 shows the growing academic</w:t>
      </w:r>
      <w:r>
        <w:t xml:space="preserve"> </w:t>
      </w:r>
      <w:r>
        <w:t xml:space="preserve">interest in this domain.</w:t>
      </w:r>
    </w:p>
    <w:p>
      <w:pPr>
        <w:pStyle w:val="BodyText"/>
      </w:pPr>
      <w:r>
        <w:drawing>
          <wp:inline>
            <wp:extent cx="5334000" cy="2183416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fig1_pub_tren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3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12" w:name="fig:pubtrend"/>
      <w:bookmarkEnd w:id="12"/>
    </w:p>
    <w:p>
      <w:pPr>
        <w:pStyle w:val="BodyText"/>
      </w:pPr>
      <w:r>
        <w:t xml:space="preserve">This study is the first to apply the VMD–ApEn–LASSO pipeline to the Indian silver</w:t>
      </w:r>
      <w:r>
        <w:t xml:space="preserve"> </w:t>
      </w:r>
      <w:r>
        <w:t xml:space="preserve">market, which presents unique challenges: a</w:t>
      </w:r>
      <w:r>
        <w:t xml:space="preserve"> </w:t>
      </w:r>
      <m:oMath>
        <m:r>
          <m:t>42</m:t>
        </m:r>
        <m:r>
          <m:rPr>
            <m:sty m:val="p"/>
          </m:rPr>
          <m:t>×</m:t>
        </m:r>
      </m:oMath>
      <w:r>
        <w:t xml:space="preserve"> </w:t>
      </w:r>
      <w:r>
        <w:t xml:space="preserve">slope acceleration in the</w:t>
      </w:r>
      <w:r>
        <w:t xml:space="preserve"> </w:t>
      </w:r>
      <w:r>
        <w:t xml:space="preserve">2024–2026 test period, India-specific macroeconomic drivers absent from prior</w:t>
      </w:r>
      <w:r>
        <w:t xml:space="preserve"> </w:t>
      </w:r>
      <w:r>
        <w:t xml:space="preserve">commodity forecasting, and the dual precious-metal/industrial demand structure of</w:t>
      </w:r>
      <w:r>
        <w:t xml:space="preserve"> </w:t>
      </w:r>
      <w:r>
        <w:t xml:space="preserve">silver.</w:t>
      </w:r>
    </w:p>
    <w:p>
      <w:pPr>
        <w:pStyle w:val="BodyText"/>
      </w:pPr>
      <w:r>
        <w:rPr>
          <w:b/>
          <w:bCs/>
        </w:rPr>
        <w:t xml:space="preserve">Contributions.</w:t>
      </w:r>
    </w:p>
    <w:p>
      <w:pPr>
        <w:numPr>
          <w:ilvl w:val="0"/>
          <w:numId w:val="1002"/>
        </w:numPr>
      </w:pPr>
      <w:r>
        <w:t xml:space="preserve">First application of VMD–ApEn–LASSO to MCX Silver (INR/kg) with a fully</w:t>
      </w:r>
      <w:r>
        <w:t xml:space="preserve"> </w:t>
      </w:r>
      <w:r>
        <w:t xml:space="preserve">India-specific feature set: USD/INR, India VIX, MCX Gold, India EPU, and a</w:t>
      </w:r>
      <w:r>
        <w:t xml:space="preserve"> </w:t>
      </w:r>
      <w:r>
        <w:t xml:space="preserve">12-keyword Google Trends composite.</w:t>
      </w:r>
    </w:p>
    <w:p>
      <w:pPr>
        <w:numPr>
          <w:ilvl w:val="0"/>
          <w:numId w:val="1002"/>
        </w:numPr>
      </w:pPr>
      <w:r>
        <w:t xml:space="preserve">Empirical proof that ApEn-guided model assignment is essential: VMD-LSTM is</w:t>
      </w:r>
      <w:r>
        <w:t xml:space="preserve"> </w:t>
      </w:r>
      <w:r>
        <w:t xml:space="preserve">significantly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than VMD-ARIMA (</w:t>
      </w:r>
      <m:oMath>
        <m:r>
          <m:t>D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14.11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), confirming</w:t>
      </w:r>
      <w:r>
        <w:t xml:space="preserve"> </w:t>
      </w:r>
      <w:r>
        <w:t xml:space="preserve">that LSTM must not be applied to smooth low-entropy IMFs.</w:t>
      </w:r>
    </w:p>
    <w:p>
      <w:pPr>
        <w:numPr>
          <w:ilvl w:val="0"/>
          <w:numId w:val="1002"/>
        </w:numPr>
      </w:pPr>
      <w:r>
        <w:t xml:space="preserve">Frequency-dependent feature revelation: gold co-movement and USD/INR drive</w:t>
      </w:r>
      <w:r>
        <w:t xml:space="preserve"> </w:t>
      </w:r>
      <w:r>
        <w:t xml:space="preserve">long-run IMFs; India VIX, Google Trends, and EPU drive short-term oscillations.</w:t>
      </w:r>
      <w:r>
        <w:t xml:space="preserve"> </w:t>
      </w:r>
      <w:r>
        <w:t xml:space="preserve">LASSO selects EPU in 8/9 IMFs.</w:t>
      </w:r>
    </w:p>
    <w:p>
      <w:pPr>
        <w:numPr>
          <w:ilvl w:val="0"/>
          <w:numId w:val="1002"/>
        </w:numPr>
      </w:pPr>
      <w:r>
        <w:t xml:space="preserve">An interval-constrained trading strategy that reduces drawdown from 27.7% to</w:t>
      </w:r>
      <w:r>
        <w:t xml:space="preserve"> </w:t>
      </w:r>
      <w:r>
        <w:t xml:space="preserve">10.9% (</w:t>
      </w:r>
      <m:oMath>
        <m:r>
          <m:rPr>
            <m:sty m:val="p"/>
          </m:rPr>
          <m:t>−</m:t>
        </m:r>
        <m:r>
          <m:t>60.7</m:t>
        </m:r>
        <m:r>
          <m:rPr>
            <m:sty m:val="p"/>
          </m:rPr>
          <m:t>%</m:t>
        </m:r>
      </m:oMath>
      <w:r>
        <w:t xml:space="preserve">) while cutting trade count by 70%.</w:t>
      </w:r>
    </w:p>
    <w:p>
      <w:pPr>
        <w:pStyle w:val="FirstParagraph"/>
      </w:pPr>
      <w:r>
        <w:t xml:space="preserve">The paper is organised as follows: Section 2 presents data and methodology;</w:t>
      </w:r>
      <w:r>
        <w:t xml:space="preserve"> </w:t>
      </w:r>
      <w:r>
        <w:t xml:space="preserve">Section 3 reports empirical results; Section 4 concludes.</w:t>
      </w:r>
    </w:p>
    <w:bookmarkEnd w:id="13"/>
    <w:bookmarkStart w:id="30" w:name="data-and-methodology"/>
    <w:p>
      <w:pPr>
        <w:pStyle w:val="Heading1"/>
      </w:pPr>
      <w:r>
        <w:t xml:space="preserve">Data and Methodology</w:t>
      </w:r>
    </w:p>
    <w:bookmarkStart w:id="14" w:name="literature-review"/>
    <w:p>
      <w:pPr>
        <w:pStyle w:val="Heading2"/>
      </w:pPr>
      <w:r>
        <w:t xml:space="preserve">Literature Review</w:t>
      </w:r>
    </w:p>
    <w:p>
      <w:pPr>
        <w:pStyle w:val="FirstParagraph"/>
      </w:pPr>
      <w:r>
        <w:t xml:space="preserve">Table 1 summarises the most related study on which this work is based.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 The source study adapted in this work.</w:t>
      </w:r>
    </w:p>
    <w:p>
      <w:pPr>
        <w:pStyle w:val="BodyText"/>
      </w:pPr>
      <w:r>
        <w:t xml:space="preserve">L</w:t>
      </w:r>
      <w:r>
        <w:t xml:space="preserve">2.55cm</w:t>
      </w:r>
      <w:r>
        <w:t xml:space="preserve"> </w:t>
      </w:r>
      <w:r>
        <w:t xml:space="preserve">C</w:t>
      </w:r>
      <w:r>
        <w:t xml:space="preserve">0.6cm</w:t>
      </w:r>
      <w:r>
        <w:t xml:space="preserve"> </w:t>
      </w:r>
      <w:r>
        <w:t xml:space="preserve">L</w:t>
      </w:r>
      <w:r>
        <w:t xml:space="preserve">2.7cm</w:t>
      </w:r>
      <w:r>
        <w:t xml:space="preserve"> </w:t>
      </w:r>
      <w:r>
        <w:t xml:space="preserve">L</w:t>
      </w:r>
      <w:r>
        <w:t xml:space="preserve">1.9cm</w:t>
      </w:r>
      <w:r>
        <w:t xml:space="preserve"> </w:t>
      </w:r>
      <w:r>
        <w:t xml:space="preserve">L</w:t>
      </w:r>
      <w:r>
        <w:t xml:space="preserve">2.4cm</w:t>
      </w:r>
      <w:r>
        <w:t xml:space="preserve"> </w:t>
      </w:r>
      <w:r>
        <w:t xml:space="preserve">L</w:t>
      </w:r>
      <w:r>
        <w:t xml:space="preserve">2.0cm</w:t>
      </w:r>
      <w:r>
        <w:t xml:space="preserve"> </w:t>
      </w:r>
      <w:r>
        <w:rPr>
          <w:b/>
          <w:bCs/>
        </w:rPr>
        <w:t xml:space="preserve">Author(s)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Year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Journal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Asset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Metrics</w:t>
      </w:r>
      <w:r>
        <w:br/>
      </w:r>
      <w:r>
        <w:rPr>
          <w:b/>
          <w:bCs/>
        </w:rPr>
        <w:t xml:space="preserve">Liu et al.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2025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Energy Economics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Carbon (China)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VMD–ApEn–LASSO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RMSE, MAE,</w:t>
      </w:r>
      <w:r>
        <w:br/>
      </w:r>
      <w:r>
        <w:t xml:space="preserve">&amp; &amp; &amp; &amp;</w:t>
      </w:r>
      <w:r>
        <w:t xml:space="preserve"> </w:t>
      </w:r>
      <w:r>
        <w:rPr>
          <w:b/>
          <w:bCs/>
        </w:rPr>
        <w:t xml:space="preserve">ARIMA/LSTM + Trading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MAPE, DA</w:t>
      </w:r>
      <w:r>
        <w:br/>
      </w:r>
    </w:p>
    <w:bookmarkEnd w:id="14"/>
    <w:bookmarkStart w:id="15" w:name="data-sources-and-variables"/>
    <w:p>
      <w:pPr>
        <w:pStyle w:val="Heading2"/>
      </w:pPr>
      <w:r>
        <w:t xml:space="preserve">Data Sources and Variables</w:t>
      </w:r>
    </w:p>
    <w:p>
      <w:pPr>
        <w:pStyle w:val="FirstParagraph"/>
      </w:pPr>
      <w:r>
        <w:t xml:space="preserve">The dataset covers 951 weekly observations (January 2000 – March 2026). The target</w:t>
      </w:r>
      <w:r>
        <w:t xml:space="preserve"> </w:t>
      </w:r>
      <w:r>
        <w:t xml:space="preserve">is MCX Silver continuous futures price (INR/kg). Ten predictor series are constructed</w:t>
      </w:r>
      <w:r>
        <w:t xml:space="preserve"> </w:t>
      </w:r>
      <w:r>
        <w:t xml:space="preserve">from nine external sources. Table 2 lists the complete variable inventory used in this</w:t>
      </w:r>
      <w:r>
        <w:t xml:space="preserve"> </w:t>
      </w:r>
      <w:r>
        <w:t xml:space="preserve">study.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 The parameter settings in this study.</w:t>
      </w:r>
    </w:p>
    <w:p>
      <w:pPr>
        <w:pStyle w:val="BodyText"/>
      </w:pPr>
      <w:r>
        <w:t xml:space="preserve">L</w:t>
      </w:r>
      <w:r>
        <w:t xml:space="preserve">3.5cm</w:t>
      </w:r>
      <w:r>
        <w:t xml:space="preserve"> </w:t>
      </w:r>
      <w:r>
        <w:t xml:space="preserve">L</w:t>
      </w:r>
      <w:r>
        <w:t xml:space="preserve">4.2cm</w:t>
      </w:r>
      <w:r>
        <w:t xml:space="preserve"> </w:t>
      </w:r>
      <w:r>
        <w:t xml:space="preserve">L</w:t>
      </w:r>
      <w:r>
        <w:t xml:space="preserve">5.0cm</w:t>
      </w:r>
      <w:r>
        <w:t xml:space="preserve"> </w:t>
      </w:r>
      <w:r>
        <w:rPr>
          <w:b/>
          <w:bCs/>
        </w:rPr>
        <w:t xml:space="preserve">Model / Component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Parameter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Value / Setting</w:t>
      </w:r>
      <w:r>
        <w:br/>
      </w:r>
      <w:r>
        <w:t xml:space="preserve">ES &amp; Smoothing coeff. (</w:t>
      </w:r>
      <m:oMath>
        <m:r>
          <m:t>α</m:t>
        </m:r>
      </m:oMath>
      <w:r>
        <w:t xml:space="preserve">) &amp;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(MLE-optimised)</w:t>
      </w:r>
      <w:r>
        <w:br/>
      </w:r>
      <w:r>
        <w:t xml:space="preserve">ES &amp; Trend component &amp; Additive</w:t>
      </w:r>
      <w:r>
        <w:br/>
      </w:r>
      <w:r>
        <w:t xml:space="preserve">ARIMA &amp; Order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&amp; Selected by AIC grid search</w:t>
      </w:r>
      <w:r>
        <w:br/>
      </w:r>
      <w:r>
        <w:t xml:space="preserve">ARIMA &amp; Differencing (</w:t>
      </w:r>
      <m:oMath>
        <m:r>
          <m:t>d</m:t>
        </m:r>
      </m:oMath>
      <w:r>
        <w:t xml:space="preserve">) &amp; 1 (confirmed by ADF test)</w:t>
      </w:r>
      <w:r>
        <w:br/>
      </w:r>
      <w:r>
        <w:t xml:space="preserve">ARIMA &amp; Information criterion &amp; AIC</w:t>
      </w:r>
      <w:r>
        <w:br/>
      </w:r>
      <w:r>
        <w:t xml:space="preserve">SVR &amp; Kernel &amp; RBF</w:t>
      </w:r>
      <w:r>
        <w:br/>
      </w:r>
      <w:r>
        <w:t xml:space="preserve">SVR &amp; Regularisation (</w:t>
      </w:r>
      <m:oMath>
        <m:r>
          <m:t>C</m:t>
        </m:r>
      </m:oMath>
      <w:r>
        <w:t xml:space="preserve">) &amp; 100</w:t>
      </w:r>
      <w:r>
        <w:br/>
      </w:r>
      <w:r>
        <w:t xml:space="preserve">SVR &amp; Epsilon (</w:t>
      </w:r>
      <m:oMath>
        <m:r>
          <m:t>ε</m:t>
        </m:r>
      </m:oMath>
      <w:r>
        <w:t xml:space="preserve">) &amp; 0.1</w:t>
      </w:r>
      <w:r>
        <w:br/>
      </w:r>
      <w:r>
        <w:t xml:space="preserve">SVR &amp; Gamma (</w:t>
      </w:r>
      <m:oMath>
        <m:r>
          <m:t>γ</m:t>
        </m:r>
      </m:oMath>
      <w:r>
        <w:t xml:space="preserve">) &amp; Scale (</w:t>
      </w:r>
      <m:oMath>
        <m:r>
          <m:t>1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feat</m:t>
            </m:r>
          </m:sub>
        </m:sSub>
        <m:r>
          <m:rPr>
            <m:sty m:val="p"/>
          </m:rPr>
          <m:t>×</m:t>
        </m:r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)</w:t>
      </w:r>
      <w:r>
        <w:br/>
      </w:r>
      <w:r>
        <w:t xml:space="preserve">RF &amp; Number of trees &amp; 100</w:t>
      </w:r>
      <w:r>
        <w:br/>
      </w:r>
      <w:r>
        <w:t xml:space="preserve">RF &amp; Max features &amp;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features</m:t>
                </m:r>
              </m:sub>
            </m:sSub>
          </m:e>
        </m:rad>
      </m:oMath>
      <w:r>
        <w:br/>
      </w:r>
      <w:r>
        <w:t xml:space="preserve">RF &amp; Min samples split &amp; 5</w:t>
      </w:r>
      <w:r>
        <w:br/>
      </w:r>
      <w:r>
        <w:t xml:space="preserve">MLP &amp; Hidden layers &amp; 2 layers: [64, 32]</w:t>
      </w:r>
      <w:r>
        <w:br/>
      </w:r>
      <w:r>
        <w:t xml:space="preserve">MLP &amp; Activation / Dropout &amp; ReLU / 0.2</w:t>
      </w:r>
      <w:r>
        <w:br/>
      </w:r>
      <w:r>
        <w:t xml:space="preserve">MLP &amp; Learning rate / Epochs &amp; 0.001 (Adam) / 200 (patience=20)</w:t>
      </w:r>
      <w:r>
        <w:br/>
      </w:r>
      <w:r>
        <w:t xml:space="preserve">ELM &amp; Hidden neurons / Activation &amp; 500 / Sigmoid</w:t>
      </w:r>
      <w:r>
        <w:br/>
      </w:r>
      <w:r>
        <w:t xml:space="preserve">LSTM (Single) &amp; Hidden units (layers) &amp;</w:t>
      </w:r>
      <w:r>
        <w:t xml:space="preserve"> </w:t>
      </w:r>
      <m:oMath>
        <m:r>
          <m:t>64</m:t>
        </m:r>
        <m:r>
          <m:rPr>
            <m:sty m:val="p"/>
          </m:rPr>
          <m:t>→</m:t>
        </m:r>
        <m:r>
          <m:t>64</m:t>
        </m:r>
      </m:oMath>
      <w:r>
        <w:br/>
      </w:r>
      <w:r>
        <w:t xml:space="preserve">LSTM (Single) &amp; Dropout / lr / Batch &amp; 0.2 / 0.001 / 32 (patience=15)</w:t>
      </w:r>
      <w:r>
        <w:br/>
      </w:r>
      <w:r>
        <w:t xml:space="preserve">LSTM (Single) &amp; Look-back window &amp; 4 weeks</w:t>
      </w:r>
      <w:r>
        <w:br/>
      </w:r>
      <w:r>
        <w:t xml:space="preserve">LSTM (VMD component) &amp; Hidden units (layers) &amp;</w:t>
      </w:r>
      <w:r>
        <w:t xml:space="preserve"> </w:t>
      </w:r>
      <m:oMath>
        <m:r>
          <m:t>64</m:t>
        </m:r>
        <m:r>
          <m:rPr>
            <m:sty m:val="p"/>
          </m:rPr>
          <m:t>→</m:t>
        </m:r>
        <m:r>
          <m:t>64</m:t>
        </m:r>
      </m:oMath>
      <w:r>
        <w:br/>
      </w:r>
      <w:r>
        <w:t xml:space="preserve">LSTM (VMD component) &amp; Dropout / lr / Batch &amp; 0.2 / 0.001 / 16 (patience=15)</w:t>
      </w:r>
      <w:r>
        <w:br/>
      </w:r>
      <w:r>
        <w:t xml:space="preserve">LASSO &amp; Alpha (</w:t>
      </w:r>
      <m:oMath>
        <m:r>
          <m:t>λ</m:t>
        </m:r>
      </m:oMath>
      <w:r>
        <w:t xml:space="preserve">) &amp; CV-selected (5-fold)</w:t>
      </w:r>
      <w:r>
        <w:br/>
      </w:r>
      <w:r>
        <w:t xml:space="preserve">LASSO &amp; Candidate predictors &amp; 8 external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5 AR lags</w:t>
      </w:r>
      <w:r>
        <w:br/>
      </w:r>
      <w:r>
        <w:t xml:space="preserve">VMD &amp; Modes (</w:t>
      </w:r>
      <m:oMath>
        <m:r>
          <m:t>K</m:t>
        </m:r>
      </m:oMath>
      <w:r>
        <w:t xml:space="preserve">) /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/ tol &amp; 9 / 2000 /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br/>
      </w:r>
      <w:r>
        <w:t xml:space="preserve">VMD &amp; Noise tol. (</w:t>
      </w:r>
      <m:oMath>
        <m:r>
          <m:t>τ</m:t>
        </m:r>
      </m:oMath>
      <w:r>
        <w:t xml:space="preserve">) / DC &amp; 0 / 0</w:t>
      </w:r>
      <w:r>
        <w:br/>
      </w:r>
      <w:r>
        <w:t xml:space="preserve">ApEn &amp; Embedding dim. (</w:t>
      </w:r>
      <m:oMath>
        <m:r>
          <m:t>m</m:t>
        </m:r>
      </m:oMath>
      <w:r>
        <w:t xml:space="preserve">) / tol. (</w:t>
      </w:r>
      <m:oMath>
        <m:r>
          <m:t>r</m:t>
        </m:r>
      </m:oMath>
      <w:r>
        <w:t xml:space="preserve">) &amp; 2 /</w:t>
      </w:r>
      <w:r>
        <w:t xml:space="preserve"> </w:t>
      </w:r>
      <m:oMath>
        <m:r>
          <m:t>0.2</m:t>
        </m:r>
        <m:r>
          <m:rPr>
            <m:sty m:val="p"/>
          </m:rPr>
          <m:t>×</m:t>
        </m:r>
        <m:r>
          <m:t>σ</m:t>
        </m:r>
      </m:oMath>
      <w:r>
        <w:br/>
      </w:r>
      <w:r>
        <w:t xml:space="preserve">ApEn &amp; Classification rule &amp; ApEn(IMF)</w:t>
      </w:r>
      <m:oMath>
        <m:r>
          <m:rPr>
            <m:sty m:val="p"/>
          </m:rPr>
          <m:t>&lt;</m:t>
        </m:r>
      </m:oMath>
      <w:r>
        <w:t xml:space="preserve">ApEn(original)</w:t>
      </w:r>
      <m:oMath>
        <m:r>
          <m:rPr>
            <m:sty m:val="p"/>
          </m:rPr>
          <m:t>⇒</m:t>
        </m:r>
      </m:oMath>
      <w:r>
        <w:t xml:space="preserve">ARIMA; else LSTM</w:t>
      </w:r>
      <w:r>
        <w:br/>
      </w:r>
      <w:r>
        <w:t xml:space="preserve">Trading &amp; Interval threshold (</w:t>
      </w:r>
      <m:oMath>
        <m:r>
          <m:t>δ</m:t>
        </m:r>
      </m:oMath>
      <w:r>
        <w:t xml:space="preserve">) &amp;</w:t>
      </w:r>
      <w:r>
        <w:t xml:space="preserve"> </w:t>
      </w:r>
      <m:oMath>
        <m:r>
          <m:rPr>
            <m:sty m:val="p"/>
          </m:rPr>
          <m:t>±</m:t>
        </m:r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t xml:space="preserve">of predicted price</w:t>
      </w:r>
      <w:r>
        <w:br/>
      </w:r>
      <w:r>
        <w:t xml:space="preserve">Trading &amp; Transaction cost &amp; 0.05% per trade</w:t>
      </w:r>
      <w:r>
        <w:br/>
      </w:r>
      <w:r>
        <w:t xml:space="preserve">Trading &amp; Position sizing &amp; Kelly criterion (32.85%)</w:t>
      </w:r>
      <w:r>
        <w:br/>
      </w:r>
    </w:p>
    <w:bookmarkEnd w:id="15"/>
    <w:bookmarkStart w:id="29" w:name="proposed-framework"/>
    <w:p>
      <w:pPr>
        <w:pStyle w:val="Heading2"/>
      </w:pPr>
      <w:r>
        <w:t xml:space="preserve">Proposed Framework</w:t>
      </w:r>
    </w:p>
    <w:p>
      <w:pPr>
        <w:pStyle w:val="FirstParagraph"/>
      </w:pPr>
      <w:r>
        <w:t xml:space="preserve">Figure 2 shows the structure of the LSTM cell, the core building block of the</w:t>
      </w:r>
      <w:r>
        <w:t xml:space="preserve"> </w:t>
      </w:r>
      <w:r>
        <w:t xml:space="preserve">high-complexity IMF forecasting stage.</w:t>
      </w:r>
    </w:p>
    <w:p>
      <w:pPr>
        <w:pStyle w:val="BodyText"/>
      </w:pPr>
      <w:r>
        <w:drawing>
          <wp:inline>
            <wp:extent cx="4373880" cy="2493064"/>
            <wp:effectExtent b="0" l="0" r="0" t="0"/>
            <wp:docPr descr="image" title="" id="17" name="Picture"/>
            <a:graphic>
              <a:graphicData uri="http://schemas.openxmlformats.org/drawingml/2006/picture">
                <pic:pic>
                  <pic:nvPicPr>
                    <pic:cNvPr descr="fig2_lstm_architectur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493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19" w:name="fig:lstm"/>
      <w:bookmarkEnd w:id="19"/>
    </w:p>
    <w:p>
      <w:pPr>
        <w:pStyle w:val="BodyText"/>
      </w:pPr>
      <w:r>
        <w:t xml:space="preserve">Figure 3 presents the complete research framework of this study encompassing five</w:t>
      </w:r>
      <w:r>
        <w:t xml:space="preserve"> </w:t>
      </w:r>
      <w:r>
        <w:t xml:space="preserve">main stages: data collection, data processing, point forecasting, interval</w:t>
      </w:r>
      <w:r>
        <w:t xml:space="preserve"> </w:t>
      </w:r>
      <w:r>
        <w:t xml:space="preserve">forecasting, and trading simulation.</w:t>
      </w:r>
    </w:p>
    <w:p>
      <w:pPr>
        <w:pStyle w:val="BodyText"/>
      </w:pPr>
      <w:r>
        <w:drawing>
          <wp:inline>
            <wp:extent cx="5334000" cy="331222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fig3_research_framework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2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23" w:name="fig:framework"/>
      <w:bookmarkEnd w:id="23"/>
    </w:p>
    <w:bookmarkStart w:id="24" w:name="variational-mode-decomposition-vmd"/>
    <w:p>
      <w:pPr>
        <w:pStyle w:val="Heading3"/>
      </w:pPr>
      <w:r>
        <w:t xml:space="preserve">Variational Mode Decomposition (VMD)</w:t>
      </w:r>
    </w:p>
    <w:p>
      <w:pPr>
        <w:pStyle w:val="FirstParagraph"/>
      </w:pPr>
      <w:r>
        <w:t xml:space="preserve">VMD decomposes the silver price series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IMFs by solving: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p"/>
                </m:rPr>
                <m:t>{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sSub>
                <m:e>
                  <m:r>
                    <m:t>ω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}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j</m:t>
                  </m:r>
                </m:num>
                <m:den>
                  <m:r>
                    <m:t>π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*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sSub>
                <m:e>
                  <m:r>
                    <m:t>ω</m:t>
                  </m:r>
                </m:e>
                <m:sub>
                  <m:r>
                    <m:t>k</m:t>
                  </m:r>
                </m:sub>
              </m:sSub>
              <m:r>
                <m:t>t</m:t>
              </m:r>
            </m:sup>
          </m:sSup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is estimated as</w:t>
      </w:r>
      <w:r>
        <w:t xml:space="preserve"> </w:t>
      </w:r>
      <m:oMath>
        <m:r>
          <m:rPr>
            <m:sty m:val="p"/>
          </m:rPr>
          <m:t>⌊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clamped to</w:t>
      </w:r>
      <w:r>
        <w:t xml:space="preserve"> </w:t>
      </w:r>
      <m:oMath>
        <m:r>
          <m:rPr>
            <m:sty m:val="p"/>
          </m:rPr>
          <m:t>[</m:t>
        </m:r>
        <m:r>
          <m:t>6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t xml:space="preserve">. IMFs are sorted</w:t>
      </w:r>
      <w:r>
        <w:t xml:space="preserve"> </w:t>
      </w:r>
      <w:r>
        <w:t xml:space="preserve">by ascending dominant frequency. Parameters: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2000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, DC</w:t>
      </w:r>
      <m:oMath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init</w:t>
      </w:r>
      <m:oMath>
        <m:r>
          <m:rPr>
            <m:sty m:val="p"/>
          </m:rPr>
          <m:t>=</m:t>
        </m:r>
        <m:r>
          <m:t>1</m:t>
        </m:r>
      </m:oMath>
      <w:r>
        <w:t xml:space="preserve">, tol</w:t>
      </w:r>
      <m:oMath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.</w:t>
      </w:r>
    </w:p>
    <w:bookmarkEnd w:id="24"/>
    <w:bookmarkStart w:id="25" w:name="approximate-entropy-classification"/>
    <w:p>
      <w:pPr>
        <w:pStyle w:val="Heading3"/>
      </w:pPr>
      <w:r>
        <w:t xml:space="preserve">Approximate Entropy Classification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r>
                <m:rPr>
                  <m:sty m:val="p"/>
                </m:rPr>
                <m:t>ln</m:t>
              </m:r>
            </m:e>
          </m:nary>
          <m:sSubSup>
            <m:e>
              <m:r>
                <m:t>C</m:t>
              </m:r>
            </m:e>
            <m:sub>
              <m:r>
                <m:t>i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Parameters: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×</m:t>
        </m:r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 IMFs with ApEn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</w:t>
      </w:r>
      <w:r>
        <w:t xml:space="preserve"> </w:t>
      </w:r>
      <w:r>
        <w:t xml:space="preserve">original series threshold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ARIMA; above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LSTM.</w:t>
      </w:r>
    </w:p>
    <w:bookmarkEnd w:id="25"/>
    <w:bookmarkStart w:id="26" w:name="lasso-feature-selection"/>
    <w:p>
      <w:pPr>
        <w:pStyle w:val="Heading3"/>
      </w:pPr>
      <w:r>
        <w:t xml:space="preserve">LASSO Feature Selection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β</m:t>
              </m:r>
            </m:lim>
          </m:limLow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β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β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Regularisation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selected by 5-fold</w:t>
      </w:r>
      <w:r>
        <w:t xml:space="preserve"> </w:t>
      </w:r>
      <w:r>
        <w:rPr>
          <w:rStyle w:val="VerbatimChar"/>
        </w:rPr>
        <w:t xml:space="preserve">LassoCV</w:t>
      </w:r>
      <w:r>
        <w:t xml:space="preserve">. Candidate features: five</w:t>
      </w:r>
      <w:r>
        <w:t xml:space="preserve"> </w:t>
      </w:r>
      <w:r>
        <w:t xml:space="preserve">AR lags of MCX Silver plus nine lagged external variables (14 total per IMF).</w:t>
      </w:r>
    </w:p>
    <w:bookmarkEnd w:id="26"/>
    <w:bookmarkStart w:id="27" w:name="dieboldmariano-test"/>
    <w:p>
      <w:pPr>
        <w:pStyle w:val="Heading3"/>
      </w:pPr>
      <w:r>
        <w:t xml:space="preserve">Diebold–Mariano Test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V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den>
          </m:f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t>1</m:t>
              </m:r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t>2</m:t>
              </m:r>
              <m:r>
                <m:t>t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Positive DM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row model more accurate. HLN correction applied.</w:t>
      </w:r>
    </w:p>
    <w:bookmarkEnd w:id="27"/>
    <w:bookmarkStart w:id="28" w:name="trading-strategy"/>
    <w:p>
      <w:pPr>
        <w:pStyle w:val="Heading3"/>
      </w:pPr>
      <w:r>
        <w:t xml:space="preserve">Trading Strategy</w:t>
      </w:r>
    </w:p>
    <w:p>
      <w:pPr>
        <w:pStyle w:val="FirstParagraph"/>
      </w:pPr>
      <w:r>
        <w:t xml:space="preserve">Four schemes with</w:t>
      </w:r>
      <w:r>
        <w:t xml:space="preserve"> </w:t>
      </w:r>
      <m:oMath>
        <m:r>
          <m:t>T</m:t>
        </m:r>
        <m:r>
          <m:t>C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%</m:t>
        </m:r>
      </m:oMath>
      <w:r>
        <w:t xml:space="preserve"> </w:t>
      </w:r>
      <w:r>
        <w:t xml:space="preserve">per-trade cost. Interval constraint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acc>
              <m:accPr>
                <m:chr m:val="̂"/>
              </m:accPr>
              <m:e>
                <m:r>
                  <m:t>L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H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sSub>
          <m:e>
            <m:acc>
              <m:accPr>
                <m:chr m:val="̂"/>
              </m:accPr>
              <m:e>
                <m:r>
                  <m:t>L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H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±</m:t>
        </m:r>
        <m:r>
          <m:t>3</m:t>
        </m:r>
        <m:r>
          <m:rPr>
            <m:sty m:val="p"/>
          </m:rPr>
          <m:t>%</m:t>
        </m:r>
      </m:oMath>
      <w:r>
        <w:t xml:space="preserve">:</w:t>
      </w:r>
    </w:p>
    <w:p>
      <w:pPr>
        <w:pStyle w:val="BodyText"/>
      </w:pPr>
      <w:r>
        <w:t xml:space="preserve">$$\begin{equation}
    \widetilde{\mathrm{Signal}}_t=I_t\cdot\mathrm{Signal}_t
    \label{eq:constraint}
    \end{equation}$$</w:t>
      </w:r>
    </w:p>
    <w:p>
      <w:pPr>
        <w:pStyle w:val="FirstParagraph"/>
      </w:pPr>
      <w:r>
        <w:rPr>
          <w:b/>
          <w:bCs/>
        </w:rPr>
        <w:t xml:space="preserve">Scheme 1</w:t>
      </w:r>
      <w:r>
        <w:t xml:space="preserve">: long/short on predicted direction.</w:t>
      </w:r>
      <w:r>
        <w:t xml:space="preserve"> </w:t>
      </w:r>
      <w:r>
        <w:rPr>
          <w:b/>
          <w:bCs/>
        </w:rPr>
        <w:t xml:space="preserve">Scheme 1</w:t>
      </w:r>
      <m:oMath>
        <m:r>
          <m:rPr>
            <m:sty m:val="p"/>
          </m:rPr>
          <m:t>′</m:t>
        </m:r>
      </m:oMath>
      <w:r>
        <w:t xml:space="preserve">: Scheme 1</w:t>
      </w:r>
      <w:r>
        <w:t xml:space="preserve"> </w:t>
      </w:r>
      <m:oMath>
        <m:r>
          <m:rPr>
            <m:sty m:val="p"/>
          </m:rPr>
          <m:t>×</m:t>
        </m:r>
        <m:r>
          <m:t> </m:t>
        </m:r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.</w:t>
      </w:r>
      <w:r>
        <w:t xml:space="preserve"> </w:t>
      </w:r>
      <w:r>
        <w:rPr>
          <w:b/>
          <w:bCs/>
        </w:rPr>
        <w:t xml:space="preserve">Scheme 2</w:t>
      </w:r>
      <w:r>
        <w:t xml:space="preserve">: trade only if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t>T</m:t>
        </m:r>
        <m:r>
          <m:t>C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Scheme 2</w:t>
      </w:r>
      <m:oMath>
        <m:r>
          <m:rPr>
            <m:sty m:val="p"/>
          </m:rPr>
          <m:t>′</m:t>
        </m:r>
      </m:oMath>
      <w:r>
        <w:t xml:space="preserve">: Scheme 2</w:t>
      </w:r>
      <w:r>
        <w:t xml:space="preserve"> </w:t>
      </w:r>
      <m:oMath>
        <m:r>
          <m:rPr>
            <m:sty m:val="p"/>
          </m:rPr>
          <m:t>×</m:t>
        </m:r>
        <m:r>
          <m:t> </m:t>
        </m:r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Sharpe: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52</m:t>
            </m:r>
          </m:e>
        </m:rad>
      </m:oMath>
      <w:r>
        <w:t xml:space="preserve"> </w:t>
      </w:r>
      <w:r>
        <w:t xml:space="preserve">(annualised).</w:t>
      </w:r>
    </w:p>
    <w:bookmarkEnd w:id="28"/>
    <w:bookmarkEnd w:id="29"/>
    <w:bookmarkEnd w:id="30"/>
    <w:bookmarkStart w:id="78" w:name="empirical-analysis-and-discussion"/>
    <w:p>
      <w:pPr>
        <w:pStyle w:val="Heading1"/>
      </w:pPr>
      <w:r>
        <w:t xml:space="preserve">Empirical Analysis and Discussion</w:t>
      </w:r>
    </w:p>
    <w:bookmarkStart w:id="43" w:name="data-collection-and-processing"/>
    <w:p>
      <w:pPr>
        <w:pStyle w:val="Heading2"/>
      </w:pPr>
      <w:r>
        <w:t xml:space="preserve">Data Collection and Processing</w:t>
      </w:r>
    </w:p>
    <w:p>
      <w:pPr>
        <w:pStyle w:val="FirstParagraph"/>
      </w:pPr>
      <w:r>
        <w:t xml:space="preserve">Figure 4 shows the MCX Silver weekly price series with the train/test boundary.</w:t>
      </w:r>
    </w:p>
    <w:p>
      <w:pPr>
        <w:pStyle w:val="BodyText"/>
      </w:pPr>
      <w:r>
        <w:drawing>
          <wp:inline>
            <wp:extent cx="5334000" cy="1745074"/>
            <wp:effectExtent b="0" l="0" r="0" t="0"/>
            <wp:docPr descr="image" title="" id="32" name="Picture"/>
            <a:graphic>
              <a:graphicData uri="http://schemas.openxmlformats.org/drawingml/2006/picture">
                <pic:pic>
                  <pic:nvPicPr>
                    <pic:cNvPr descr="fig4_silver_price_spli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5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34" w:name="fig:pricesplit"/>
      <w:bookmarkEnd w:id="34"/>
    </w:p>
    <w:p>
      <w:pPr>
        <w:pStyle w:val="BodyText"/>
      </w:pPr>
      <w:r>
        <w:t xml:space="preserve">Table 3 lists all indicators used in this study.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 The indicators used in this study.</w:t>
      </w:r>
    </w:p>
    <w:p>
      <w:pPr>
        <w:pStyle w:val="BodyText"/>
      </w:pPr>
      <w:r>
        <w:t xml:space="preserve">L</w:t>
      </w:r>
      <w:r>
        <w:t xml:space="preserve">1.7cm</w:t>
      </w:r>
      <w:r>
        <w:t xml:space="preserve"> </w:t>
      </w:r>
      <w:r>
        <w:t xml:space="preserve">L</w:t>
      </w:r>
      <w:r>
        <w:t xml:space="preserve">3.3cm</w:t>
      </w:r>
      <w:r>
        <w:t xml:space="preserve"> </w:t>
      </w:r>
      <w:r>
        <w:t xml:space="preserve">L</w:t>
      </w:r>
      <w:r>
        <w:t xml:space="preserve">2.2cm</w:t>
      </w:r>
      <w:r>
        <w:t xml:space="preserve"> </w:t>
      </w:r>
      <w:r>
        <w:t xml:space="preserve">L</w:t>
      </w:r>
      <w:r>
        <w:t xml:space="preserve">3.0cm</w:t>
      </w:r>
      <w:r>
        <w:t xml:space="preserve"> </w:t>
      </w:r>
      <w:r>
        <w:t xml:space="preserve">L</w:t>
      </w:r>
      <w:r>
        <w:t xml:space="preserve">1.8cm</w:t>
      </w:r>
      <w:r>
        <w:t xml:space="preserve"> </w:t>
      </w:r>
      <w:r>
        <w:t xml:space="preserve">L</w:t>
      </w:r>
      <w:r>
        <w:t xml:space="preserve">1.6cm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Full Name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Frequency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Unit</w:t>
      </w:r>
      <w:r>
        <w:br/>
      </w:r>
      <w:r>
        <w:rPr>
          <w:rStyle w:val="VerbatimChar"/>
        </w:rPr>
        <w:t xml:space="preserve">mcx_silver</w:t>
      </w:r>
      <w:r>
        <w:t xml:space="preserve"> </w:t>
      </w:r>
      <w:r>
        <w:t xml:space="preserve">&amp; MCX Silver Continuous Futures &amp; Target &amp; MCX, Bloomberg &amp; Weekly &amp; INR/kg</w:t>
      </w:r>
      <w:r>
        <w:br/>
      </w:r>
      <w:r>
        <w:rPr>
          <w:rStyle w:val="VerbatimChar"/>
        </w:rPr>
        <w:t xml:space="preserve">gold_usd</w:t>
      </w:r>
      <w:r>
        <w:t xml:space="preserve"> </w:t>
      </w:r>
      <w:r>
        <w:t xml:space="preserve">&amp; International Gold Spot Price &amp; Precious Metal&amp; LBMA / Yahoo Finance &amp; Weekly &amp; USD/oz</w:t>
      </w:r>
      <w:r>
        <w:br/>
      </w:r>
      <w:r>
        <w:rPr>
          <w:rStyle w:val="VerbatimChar"/>
        </w:rPr>
        <w:t xml:space="preserve">brent</w:t>
      </w:r>
      <w:r>
        <w:t xml:space="preserve"> </w:t>
      </w:r>
      <w:r>
        <w:t xml:space="preserve">&amp; Brent Crude Oil Spot &amp; Energy &amp; ICE / Bloomberg &amp; Weekly &amp; USD/bbl</w:t>
      </w:r>
      <w:r>
        <w:br/>
      </w:r>
      <w:r>
        <w:rPr>
          <w:rStyle w:val="VerbatimChar"/>
        </w:rPr>
        <w:t xml:space="preserve">usdinr</w:t>
      </w:r>
      <w:r>
        <w:t xml:space="preserve"> </w:t>
      </w:r>
      <w:r>
        <w:t xml:space="preserve">&amp; USD/INR Exchange Rate &amp; Macro/Currency&amp; RBI / Bloomberg &amp; Weekly &amp; INR/USD</w:t>
      </w:r>
      <w:r>
        <w:br/>
      </w:r>
      <w:r>
        <w:rPr>
          <w:rStyle w:val="VerbatimChar"/>
        </w:rPr>
        <w:t xml:space="preserve">nifty50</w:t>
      </w:r>
      <w:r>
        <w:t xml:space="preserve"> </w:t>
      </w:r>
      <w:r>
        <w:t xml:space="preserve">&amp; NIFTY 50 Index (NSE) &amp; Equity &amp; NSE India &amp; Weekly &amp; Index pts</w:t>
      </w:r>
      <w:r>
        <w:br/>
      </w:r>
      <w:r>
        <w:rPr>
          <w:rStyle w:val="VerbatimChar"/>
        </w:rPr>
        <w:t xml:space="preserve">vix_india</w:t>
      </w:r>
      <w:r>
        <w:t xml:space="preserve"> </w:t>
      </w:r>
      <w:r>
        <w:t xml:space="preserve">&amp; India VIX &amp; Risk/Fear &amp; NSE India &amp; Weekly &amp; Index</w:t>
      </w:r>
      <w:r>
        <w:br/>
      </w:r>
      <w:r>
        <w:rPr>
          <w:rStyle w:val="VerbatimChar"/>
        </w:rPr>
        <w:t xml:space="preserve">mcx_gold</w:t>
      </w:r>
      <w:r>
        <w:t xml:space="preserve"> </w:t>
      </w:r>
      <w:r>
        <w:t xml:space="preserve">&amp; MCX Gold Continuous Futures &amp; Domestic PM &amp; MCX &amp; Weekly &amp; INR/10g</w:t>
      </w:r>
      <w:r>
        <w:br/>
      </w:r>
      <w:r>
        <w:rPr>
          <w:rStyle w:val="VerbatimChar"/>
        </w:rPr>
        <w:t xml:space="preserve">geo_risk</w:t>
      </w:r>
      <w:r>
        <w:t xml:space="preserve"> </w:t>
      </w:r>
      <w:r>
        <w:t xml:space="preserve">&amp; Geopolitical Risk Index (GPR) &amp; Macro/Geo &amp; Caldara &amp; Iacoviello &amp; Weekly &amp; Index</w:t>
      </w:r>
      <w:r>
        <w:br/>
      </w:r>
      <w:r>
        <w:rPr>
          <w:rStyle w:val="VerbatimChar"/>
        </w:rPr>
        <w:t xml:space="preserve">trends_raw</w:t>
      </w:r>
      <w:r>
        <w:t xml:space="preserve"> </w:t>
      </w:r>
      <w:r>
        <w:t xml:space="preserve">&amp; Google Trends (12 keywords) &amp; NLP/Attention &amp; Google Trends API &amp; Weekly &amp; 0–100</w:t>
      </w:r>
      <w:r>
        <w:br/>
      </w:r>
      <w:r>
        <w:rPr>
          <w:rStyle w:val="VerbatimChar"/>
        </w:rPr>
        <w:t xml:space="preserve">india_epu</w:t>
      </w:r>
      <w:r>
        <w:t xml:space="preserve"> </w:t>
      </w:r>
      <w:r>
        <w:t xml:space="preserve">&amp; India EPU Index &amp; Policy Risk &amp; Baker, Bloom &amp; Davis &amp; Monthly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 Index</w:t>
      </w:r>
      <w:r>
        <w:br/>
      </w:r>
    </w:p>
    <w:p>
      <w:pPr>
        <w:pStyle w:val="BodyText"/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Monthly EPU resampled to weekly via forward-fill.</w:t>
      </w:r>
    </w:p>
    <w:p>
      <w:pPr>
        <w:pStyle w:val="BodyText"/>
      </w:pPr>
      <w:r>
        <w:t xml:space="preserve">Figure 5 shows the wordcloud of collected news and search-query terms related to</w:t>
      </w:r>
      <w:r>
        <w:t xml:space="preserve"> </w:t>
      </w:r>
      <w:r>
        <w:t xml:space="preserve">silver topics in the Indian market, confirming the relevance of the Google Trends</w:t>
      </w:r>
      <w:r>
        <w:t xml:space="preserve"> </w:t>
      </w:r>
      <w:r>
        <w:t xml:space="preserve">keywords used as a public-attention proxy.</w:t>
      </w:r>
    </w:p>
    <w:p>
      <w:pPr>
        <w:pStyle w:val="BodyText"/>
      </w:pPr>
      <w:r>
        <w:drawing>
          <wp:inline>
            <wp:extent cx="4693920" cy="2710394"/>
            <wp:effectExtent b="0" l="0" r="0" t="0"/>
            <wp:docPr descr="image" title="" id="36" name="Picture"/>
            <a:graphic>
              <a:graphicData uri="http://schemas.openxmlformats.org/drawingml/2006/picture">
                <pic:pic>
                  <pic:nvPicPr>
                    <pic:cNvPr descr="fig5_wordcloud_silve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710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38" w:name="fig:wordcloud"/>
      <w:bookmarkEnd w:id="38"/>
    </w:p>
    <w:p>
      <w:pPr>
        <w:pStyle w:val="BodyText"/>
      </w:pPr>
      <w:r>
        <w:t xml:space="preserve">Figure 6 presents the sentiment/attention scores and distributions extracted from</w:t>
      </w:r>
      <w:r>
        <w:t xml:space="preserve"> </w:t>
      </w:r>
      <w:r>
        <w:t xml:space="preserve">the Google Trends series over the full sample period.</w:t>
      </w:r>
    </w:p>
    <w:p>
      <w:pPr>
        <w:pStyle w:val="BodyText"/>
      </w:pPr>
      <w:r>
        <w:drawing>
          <wp:inline>
            <wp:extent cx="5334000" cy="1975057"/>
            <wp:effectExtent b="0" l="0" r="0" t="0"/>
            <wp:docPr descr="image" title="" id="40" name="Picture"/>
            <a:graphic>
              <a:graphicData uri="http://schemas.openxmlformats.org/drawingml/2006/picture">
                <pic:pic>
                  <pic:nvPicPr>
                    <pic:cNvPr descr="fig6_sentiment_score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5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42" w:name="fig:sentiment"/>
      <w:bookmarkEnd w:id="42"/>
    </w:p>
    <w:p>
      <w:pPr>
        <w:pStyle w:val="BodyText"/>
      </w:pPr>
      <w:r>
        <w:t xml:space="preserve">Table 4 presents the statistical information of all data used in this study.</w:t>
      </w:r>
    </w:p>
    <w:p>
      <w:pPr>
        <w:pStyle w:val="BodyText"/>
      </w:pPr>
      <w:r>
        <w:rPr>
          <w:b/>
          <w:bCs/>
        </w:rPr>
        <w:t xml:space="preserve">Table 4.</w:t>
      </w:r>
      <w:r>
        <w:t xml:space="preserve"> The statistical information of used data.</w:t>
      </w:r>
    </w:p>
    <w:p>
      <w:pPr>
        <w:pStyle w:val="BodyText"/>
      </w:pPr>
      <w:r>
        <w:t xml:space="preserve">L</w:t>
      </w:r>
      <w:r>
        <w:t xml:space="preserve">2.2cm</w:t>
      </w:r>
      <w:r>
        <w:t xml:space="preserve"> </w:t>
      </w:r>
      <w:r>
        <w:t xml:space="preserve">C</w:t>
      </w:r>
      <w:r>
        <w:t xml:space="preserve">0.55cm</w:t>
      </w:r>
      <w:r>
        <w:t xml:space="preserve"> </w:t>
      </w:r>
      <w:r>
        <w:t xml:space="preserve">C</w:t>
      </w:r>
      <w:r>
        <w:t xml:space="preserve">1.5cm</w:t>
      </w:r>
      <w:r>
        <w:t xml:space="preserve"> </w:t>
      </w:r>
      <w:r>
        <w:t xml:space="preserve">C</w:t>
      </w:r>
      <w:r>
        <w:t xml:space="preserve">1.5cm</w:t>
      </w:r>
      <w:r>
        <w:t xml:space="preserve"> </w:t>
      </w:r>
      <w:r>
        <w:t xml:space="preserve">C</w:t>
      </w:r>
      <w:r>
        <w:t xml:space="preserve">1.4cm</w:t>
      </w:r>
      <w:r>
        <w:t xml:space="preserve"> </w:t>
      </w:r>
      <w:r>
        <w:t xml:space="preserve">C</w:t>
      </w:r>
      <w:r>
        <w:t xml:space="preserve">1.5cm</w:t>
      </w:r>
      <w:r>
        <w:t xml:space="preserve"> </w:t>
      </w:r>
      <w:r>
        <w:t xml:space="preserve">C</w:t>
      </w:r>
      <w:r>
        <w:t xml:space="preserve">1.6cm</w:t>
      </w:r>
      <w:r>
        <w:t xml:space="preserve"> </w:t>
      </w:r>
      <w:r>
        <w:t xml:space="preserve">C</w:t>
      </w:r>
      <w:r>
        <w:t xml:space="preserve">1.1cm</w:t>
      </w:r>
      <w:r>
        <w:t xml:space="preserve"> </w:t>
      </w:r>
      <w:r>
        <w:t xml:space="preserve">C</w:t>
      </w:r>
      <w:r>
        <w:t xml:space="preserve">1.1cm</w:t>
      </w:r>
      <w:r>
        <w:t xml:space="preserve"> </w:t>
      </w:r>
      <w:r>
        <w:t xml:space="preserve">C</w:t>
      </w:r>
      <w:r>
        <w:t xml:space="preserve">1.2cm</w:t>
      </w:r>
      <w:r>
        <w:t xml:space="preserve"> </w:t>
      </w:r>
      <w:r>
        <w:t xml:space="preserve">C</w:t>
      </w:r>
      <w:r>
        <w:t xml:space="preserve">1.1cm</w:t>
      </w:r>
      <w:r>
        <w:t xml:space="preserve"> </w:t>
      </w:r>
      <w:r>
        <w:t xml:space="preserve">C</w:t>
      </w:r>
      <w:r>
        <w:t xml:space="preserve">1.1cm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Std Dev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Min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Median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Max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Skew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Kurt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JB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JB</w:t>
      </w:r>
      <w:r>
        <w:rPr>
          <w:b/>
          <w:bCs/>
        </w:rPr>
        <w:t xml:space="preserve"> </w:t>
      </w:r>
      <m:oMath>
        <m:r>
          <m:t>p</m:t>
        </m:r>
      </m:oMath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ADF</w:t>
      </w:r>
      <w:r>
        <w:rPr>
          <w:b/>
          <w:bCs/>
        </w:rPr>
        <w:t xml:space="preserve"> </w:t>
      </w:r>
      <m:oMath>
        <m:r>
          <m:t>p</m:t>
        </m:r>
      </m:oMath>
      <w:r>
        <w:br/>
      </w:r>
      <w:r>
        <w:t xml:space="preserve">MCX Silver (INR/kg) &amp; 951 &amp; 60,289 &amp; 36,276 &amp; 32,872 &amp; 47,195 &amp; 333,292 &amp; 3.73 &amp; 17.93 &amp; 14,942 &amp; 0.00 &amp; 1.000</w:t>
      </w:r>
      <w:r>
        <w:br/>
      </w:r>
      <w:r>
        <w:t xml:space="preserve">Gold (USD/oz) &amp; 951 &amp; 1,622 &amp; 700 &amp; 717 &amp; 1,388 &amp; 5,231 &amp; 2.39 &amp; 7.14 &amp; 2,926 &amp; 0.00 &amp; 1.000</w:t>
      </w:r>
      <w:r>
        <w:br/>
      </w:r>
      <w:r>
        <w:t xml:space="preserve">Brent (USD/bbl) &amp; 951 &amp; 78.08 &amp; 24.05 &amp; 21.44 &amp; 75.15 &amp; 146.08 &amp; 0.23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0.78 &amp; 33 &amp; 0.00 &amp; 0.037</w:t>
      </w:r>
      <w:r>
        <w:br/>
      </w:r>
      <w:r>
        <w:t xml:space="preserve">USD/INR &amp; 951 &amp; 65.44 &amp; 13.68 &amp; 39.30 &amp; 66.48 &amp; 93.71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0.09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1.02 &amp; 43 &amp; 0.00 &amp; 0.909</w:t>
      </w:r>
      <w:r>
        <w:br/>
      </w:r>
      <w:r>
        <w:t xml:space="preserve">NIFTY 50 &amp; 951 &amp; 11,137 &amp; 6,488 &amp; 2,584 &amp; 8,834 &amp; 26,329 &amp; 0.88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0.42 &amp; 128 &amp; 0.00 &amp; 0.986</w:t>
      </w:r>
      <w:r>
        <w:br/>
      </w:r>
      <w:r>
        <w:t xml:space="preserve">India VIX &amp; 951 &amp; 19.73 &amp; 9.00 &amp; 9.15 &amp; 16.88 &amp; 70.39 &amp; 2.20 &amp; 6.36 &amp; 2,372 &amp; 0.00 &amp; 0.018</w:t>
      </w:r>
      <w:r>
        <w:br/>
      </w:r>
      <w:r>
        <w:t xml:space="preserve">MCX Gold (INR/10g) &amp; 951 &amp; 39,784 &amp; 24,764 &amp; 11,560 &amp; 30,283 &amp; 175,231 &amp; 2.18 &amp; 5.87 &amp; 2,121 &amp; 0.00 &amp; 1.000</w:t>
      </w:r>
      <w:r>
        <w:br/>
      </w:r>
      <w:r>
        <w:t xml:space="preserve">Geopolitical Risk &amp; 951 &amp; 103.53 &amp; 55.81 &amp; 0.00 &amp; 92.60 &amp; 478.55 &amp; 1.87 &amp; 7.09 &amp; 2,550 &amp; 0.00 &amp; 0.044</w:t>
      </w:r>
      <w:r>
        <w:br/>
      </w:r>
      <w:r>
        <w:t xml:space="preserve">Google Trends &amp; 951 &amp; 5.00 &amp; 10.48 &amp; 0.00 &amp; 2.33 &amp; 100.00 &amp; 6.46 &amp; 46.86 &amp; 93,631 &amp; 0.00 &amp; 0.223</w:t>
      </w:r>
      <w:r>
        <w:br/>
      </w:r>
      <w:r>
        <w:t xml:space="preserve">India EPU Index &amp; 946 &amp; 105.30 &amp; 49.27 &amp; 23.35 &amp; 92.65 &amp; 327.49 &amp; 1.14 &amp; 1.87 &amp; 344 &amp; 0.00 &amp; 0.114</w:t>
      </w:r>
      <w:r>
        <w:br/>
      </w:r>
    </w:p>
    <w:bookmarkEnd w:id="43"/>
    <w:bookmarkStart w:id="52" w:name="X74c7508da93f90cd02e671b0b541b754c7491bb"/>
    <w:p>
      <w:pPr>
        <w:pStyle w:val="Heading2"/>
      </w:pPr>
      <w:r>
        <w:t xml:space="preserve">VMD Decomposition and Complexity Assessment</w:t>
      </w:r>
    </w:p>
    <w:p>
      <w:pPr>
        <w:pStyle w:val="FirstParagraph"/>
      </w:pPr>
      <w:r>
        <w:t xml:space="preserve">Figure 7 shows the decomposed IMFs of the MCX Silver price series.</w:t>
      </w:r>
    </w:p>
    <w:p>
      <w:pPr>
        <w:pStyle w:val="BodyText"/>
      </w:pPr>
      <w:r>
        <w:drawing>
          <wp:inline>
            <wp:extent cx="5334000" cy="6270328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fig7_imf_decomposi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0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47" w:name="fig:imfs"/>
      <w:bookmarkEnd w:id="47"/>
    </w:p>
    <w:p>
      <w:pPr>
        <w:pStyle w:val="BodyText"/>
      </w:pPr>
      <w:r>
        <w:t xml:space="preserve">Table 5 presents detailed frequency, period, variance, and correlation statistics for</w:t>
      </w:r>
      <w:r>
        <w:t xml:space="preserve"> </w:t>
      </w:r>
      <w:r>
        <w:t xml:space="preserve">each decomposed IMF.</w:t>
      </w:r>
    </w:p>
    <w:p>
      <w:pPr>
        <w:pStyle w:val="BodyText"/>
      </w:pPr>
      <w:r>
        <w:rPr>
          <w:b/>
          <w:bCs/>
        </w:rPr>
        <w:t xml:space="preserve">Table 5.</w:t>
      </w:r>
      <w:r>
        <w:t xml:space="preserve"> More information on the decomposed IMFs.</w:t>
      </w:r>
    </w:p>
    <w:p>
      <w:pPr>
        <w:pStyle w:val="BodyText"/>
      </w:pPr>
      <w:r>
        <w:t xml:space="preserve">C</w:t>
      </w:r>
      <w:r>
        <w:t xml:space="preserve">1.0cm</w:t>
      </w:r>
      <w:r>
        <w:t xml:space="preserve"> </w:t>
      </w:r>
      <w:r>
        <w:t xml:space="preserve">C</w:t>
      </w:r>
      <w:r>
        <w:t xml:space="preserve">2.4cm</w:t>
      </w:r>
      <w:r>
        <w:t xml:space="preserve"> </w:t>
      </w:r>
      <w:r>
        <w:t xml:space="preserve">C</w:t>
      </w:r>
      <w:r>
        <w:t xml:space="preserve">2.6cm</w:t>
      </w:r>
      <w:r>
        <w:t xml:space="preserve"> </w:t>
      </w:r>
      <w:r>
        <w:t xml:space="preserve">C</w:t>
      </w:r>
      <w:r>
        <w:t xml:space="preserve">2.4cm</w:t>
      </w:r>
      <w:r>
        <w:t xml:space="preserve"> </w:t>
      </w:r>
      <w:r>
        <w:t xml:space="preserve">C</w:t>
      </w:r>
      <w:r>
        <w:t xml:space="preserve">2.6cm</w:t>
      </w:r>
      <w:r>
        <w:t xml:space="preserve"> </w:t>
      </w:r>
      <w:r>
        <w:t xml:space="preserve">C</w:t>
      </w:r>
      <w:r>
        <w:t xml:space="preserve">1.8cm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Frequency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Period (weeks)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Variance Ratio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Model</w:t>
      </w:r>
      <w:r>
        <w:br/>
      </w:r>
      <w:r>
        <w:t xml:space="preserve">IMF1 &amp; 0.0011 &amp; 946.00 &amp; 0.7137 &amp; 0.9074 &amp; ARIMA</w:t>
      </w:r>
      <w:r>
        <w:br/>
      </w:r>
      <w:r>
        <w:t xml:space="preserve">IMF2 &amp; 0.0063 &amp; 157.67 &amp; 0.1471 &amp; 0.5255 &amp; ARIMA</w:t>
      </w:r>
      <w:r>
        <w:br/>
      </w:r>
      <w:r>
        <w:t xml:space="preserve">IMF3 &amp; 0.0581 &amp; 17.20 &amp; 0.0065 &amp; 0.1332 &amp; LSTM</w:t>
      </w:r>
      <w:r>
        <w:br/>
      </w:r>
      <w:r>
        <w:t xml:space="preserve">IMF4 &amp; 0.1015 &amp; 9.85 &amp; 0.0034 &amp; 0.0880 &amp; LSTM</w:t>
      </w:r>
      <w:r>
        <w:br/>
      </w:r>
      <w:r>
        <w:t xml:space="preserve">IMF5 &amp; 0.1924 &amp; 5.20 &amp; 0.0013 &amp; 0.0569 &amp; LSTM</w:t>
      </w:r>
      <w:r>
        <w:br/>
      </w:r>
      <w:r>
        <w:t xml:space="preserve">IMF6 &amp; 0.2918 &amp; 3.43 &amp; 0.0002 &amp; 0.0264 &amp; LSTM</w:t>
      </w:r>
      <w:r>
        <w:br/>
      </w:r>
      <w:r>
        <w:t xml:space="preserve">IMF7 &amp; 0.3372 &amp; 2.97 &amp; 0.0001 &amp; 0.0226 &amp; LSTM</w:t>
      </w:r>
      <w:r>
        <w:br/>
      </w:r>
      <w:r>
        <w:t xml:space="preserve">IMF8 &amp; 0.4249 &amp; 2.35 &amp; 0.0004 &amp; 0.0293 &amp; LSTM</w:t>
      </w:r>
      <w:r>
        <w:br/>
      </w:r>
      <w:r>
        <w:t xml:space="preserve">IMF9 &amp; 0.4493 &amp; 2.23 &amp; 0.0004 &amp; 0.0301 &amp; LSTM</w:t>
      </w:r>
      <w:r>
        <w:br/>
      </w:r>
    </w:p>
    <w:p>
      <w:pPr>
        <w:pStyle w:val="BodyText"/>
      </w:pPr>
      <w:r>
        <w:t xml:space="preserve">IMF1 (</w:t>
      </w:r>
      <m:oMath>
        <m:r>
          <m:rPr>
            <m:sty m:val="p"/>
          </m:rPr>
          <m:t>≈</m:t>
        </m:r>
      </m:oMath>
      <w:r>
        <w:t xml:space="preserve">18-year period) alone accounts for 71.4% of total variance with</w:t>
      </w:r>
      <w:r>
        <w:t xml:space="preserve"> </w:t>
      </w:r>
      <w:r>
        <w:t xml:space="preserve">correlation 0.907 to the original series. IMF2 (</w:t>
      </w:r>
      <m:oMath>
        <m:r>
          <m:rPr>
            <m:sty m:val="p"/>
          </m:rPr>
          <m:t>≈</m:t>
        </m:r>
      </m:oMath>
      <w:r>
        <w:t xml:space="preserve">3-year supercycle)</w:t>
      </w:r>
      <w:r>
        <w:t xml:space="preserve"> </w:t>
      </w:r>
      <w:r>
        <w:t xml:space="preserve">contributes 14.7%. Together they explain 86.1% of price dynamics. IMFs 3–9 capture</w:t>
      </w:r>
      <w:r>
        <w:t xml:space="preserve"> </w:t>
      </w:r>
      <w:r>
        <w:t xml:space="preserve">progressively shorter cycles from 17.2 weeks down to 2.23 weeks.</w:t>
      </w:r>
    </w:p>
    <w:p>
      <w:pPr>
        <w:pStyle w:val="BodyText"/>
      </w:pPr>
      <w:r>
        <w:t xml:space="preserve">Figure 8 shows the approximate entropy values used to classify each IMF.</w:t>
      </w:r>
    </w:p>
    <w:p>
      <w:pPr>
        <w:pStyle w:val="BodyText"/>
      </w:pPr>
      <w:r>
        <w:drawing>
          <wp:inline>
            <wp:extent cx="4800600" cy="2374455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fig8_approximate_entropy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74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51" w:name="fig:entropy"/>
      <w:bookmarkEnd w:id="51"/>
    </w:p>
    <w:bookmarkEnd w:id="52"/>
    <w:bookmarkStart w:id="53" w:name="adaptive-feature-selection"/>
    <w:p>
      <w:pPr>
        <w:pStyle w:val="Heading2"/>
      </w:pPr>
      <w:r>
        <w:t xml:space="preserve">Adaptive Feature Selection</w:t>
      </w:r>
    </w:p>
    <w:p>
      <w:pPr>
        <w:pStyle w:val="FirstParagraph"/>
      </w:pPr>
      <w:r>
        <w:t xml:space="preserve">Table 6 presents the selected indicators of decomposed IMFs using LASSO regression,</w:t>
      </w:r>
      <w:r>
        <w:t xml:space="preserve"> </w:t>
      </w:r>
      <w:r>
        <w:t xml:space="preserve">including the cross-validated regularisation parameter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number of features</w:t>
      </w:r>
      <w:r>
        <w:t xml:space="preserve"> </w:t>
      </w:r>
      <w:r>
        <w:t xml:space="preserve">selected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Table 6.</w:t>
      </w:r>
      <w:r>
        <w:t xml:space="preserve"> The selected indicators of decomposed IMFs using LASSO</w:t>
      </w:r>
      <w:r>
        <w:t xml:space="preserve"> </w:t>
      </w:r>
      <w:r>
        <w:t xml:space="preserve">regression.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 </w:t>
      </w:r>
      <w:r>
        <w:t xml:space="preserve">= retained (non-zero coefficient). L1–L5 =</w:t>
      </w:r>
      <w:r>
        <w:t xml:space="preserve"> </w:t>
      </w:r>
      <w:r>
        <w:rPr>
          <w:rStyle w:val="VerbatimChar"/>
        </w:rPr>
        <w:t xml:space="preserve">mcx_silver_lag_1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lag_5</w:t>
      </w:r>
      <w:r>
        <w:t xml:space="preserve">. External (lag-1): GD = gold_usd,</w:t>
      </w:r>
      <w:r>
        <w:t xml:space="preserve"> </w:t>
      </w:r>
      <w:r>
        <w:t xml:space="preserve">BR = brent, FX = usdinr, NF = nifty50, VX = vix_india, MG = mcx_gold,</w:t>
      </w:r>
      <w:r>
        <w:t xml:space="preserve"> </w:t>
      </w:r>
      <w:r>
        <w:t xml:space="preserve">GP = geo_risk, TR = trends_raw, EP = india_epu.</w:t>
      </w:r>
    </w:p>
    <w:p>
      <w:pPr>
        <w:pStyle w:val="BodyText"/>
      </w:pPr>
      <w:r>
        <w:t xml:space="preserve">C</w:t>
      </w:r>
      <w:r>
        <w:t xml:space="preserve">0.7cm</w:t>
      </w:r>
      <w:r>
        <w:t xml:space="preserve"> </w:t>
      </w:r>
      <w:r>
        <w:t xml:space="preserve">C</w:t>
      </w:r>
      <w:r>
        <w:t xml:space="preserve">0.9cm</w:t>
      </w:r>
      <w:r>
        <w:t xml:space="preserve"> </w:t>
      </w:r>
      <w:r>
        <w:t xml:space="preserve">C</w:t>
      </w:r>
      <w:r>
        <w:t xml:space="preserve">1.35cm</w:t>
      </w:r>
      <w:r>
        <w:t xml:space="preserve"> </w:t>
      </w:r>
      <w:r>
        <w:t xml:space="preserve">C</w:t>
      </w:r>
      <w:r>
        <w:t xml:space="preserve">0.4cm</w:t>
      </w:r>
      <w:r>
        <w:t xml:space="preserve"> </w:t>
      </w:r>
      <w:r>
        <w:t xml:space="preserve">C</w:t>
      </w:r>
      <w:r>
        <w:t xml:space="preserve">0.42cm</w:t>
      </w:r>
      <w:r>
        <w:t xml:space="preserve">C</w:t>
      </w:r>
      <w:r>
        <w:t xml:space="preserve">0.42cm</w:t>
      </w:r>
      <w:r>
        <w:t xml:space="preserve">C</w:t>
      </w:r>
      <w:r>
        <w:t xml:space="preserve">0.42cm</w:t>
      </w:r>
      <w:r>
        <w:t xml:space="preserve">C</w:t>
      </w:r>
      <w:r>
        <w:t xml:space="preserve">0.42cm</w:t>
      </w:r>
      <w:r>
        <w:t xml:space="preserve">C</w:t>
      </w:r>
      <w:r>
        <w:t xml:space="preserve">0.42cm</w:t>
      </w:r>
      <w:r>
        <w:t xml:space="preserve"> </w:t>
      </w:r>
      <w:r>
        <w:t xml:space="preserve">C</w:t>
      </w:r>
      <w:r>
        <w:t xml:space="preserve">0.42cm</w:t>
      </w:r>
      <w:r>
        <w:t xml:space="preserve">C</w:t>
      </w:r>
      <w:r>
        <w:t xml:space="preserve">0.42cm</w:t>
      </w:r>
      <w:r>
        <w:t xml:space="preserve">C</w:t>
      </w:r>
      <w:r>
        <w:t xml:space="preserve">0.42cm</w:t>
      </w:r>
      <w:r>
        <w:t xml:space="preserve">C</w:t>
      </w:r>
      <w:r>
        <w:t xml:space="preserve">0.42cm</w:t>
      </w:r>
      <w:r>
        <w:t xml:space="preserve">C</w:t>
      </w:r>
      <w:r>
        <w:t xml:space="preserve">0.42cm</w:t>
      </w:r>
      <w:r>
        <w:t xml:space="preserve"> </w:t>
      </w:r>
      <w:r>
        <w:t xml:space="preserve">C</w:t>
      </w:r>
      <w:r>
        <w:t xml:space="preserve">0.42cm</w:t>
      </w:r>
      <w:r>
        <w:t xml:space="preserve">C</w:t>
      </w:r>
      <w:r>
        <w:t xml:space="preserve">0.42cm</w:t>
      </w:r>
      <w:r>
        <w:t xml:space="preserve">C</w:t>
      </w:r>
      <w:r>
        <w:t xml:space="preserve">0.42cm</w:t>
      </w:r>
      <w:r>
        <w:t xml:space="preserve">C</w:t>
      </w:r>
      <w:r>
        <w:t xml:space="preserve">0.42cm</w:t>
      </w:r>
      <w:r>
        <w:t xml:space="preserve"> </w:t>
      </w:r>
      <w:r>
        <w:rPr>
          <w:b/>
          <w:bCs/>
        </w:rPr>
        <w:t xml:space="preserve">IMF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&amp;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L1</w:t>
      </w:r>
      <w:r>
        <w:t xml:space="preserve">&amp;</w:t>
      </w:r>
      <w:r>
        <w:rPr>
          <w:b/>
          <w:bCs/>
        </w:rPr>
        <w:t xml:space="preserve">L2</w:t>
      </w:r>
      <w:r>
        <w:t xml:space="preserve">&amp;</w:t>
      </w:r>
      <w:r>
        <w:rPr>
          <w:b/>
          <w:bCs/>
        </w:rPr>
        <w:t xml:space="preserve">L3</w:t>
      </w:r>
      <w:r>
        <w:t xml:space="preserve">&amp;</w:t>
      </w:r>
      <w:r>
        <w:rPr>
          <w:b/>
          <w:bCs/>
        </w:rPr>
        <w:t xml:space="preserve">L4</w:t>
      </w:r>
      <w:r>
        <w:t xml:space="preserve">&amp;</w:t>
      </w:r>
      <w:r>
        <w:rPr>
          <w:b/>
          <w:bCs/>
        </w:rPr>
        <w:t xml:space="preserve">L5</w:t>
      </w:r>
      <w:r>
        <w:t xml:space="preserve">&amp;</w:t>
      </w:r>
      <w:r>
        <w:t xml:space="preserve"> </w:t>
      </w:r>
      <w:r>
        <w:rPr>
          <w:b/>
          <w:bCs/>
        </w:rPr>
        <w:t xml:space="preserve">GD</w:t>
      </w:r>
      <w:r>
        <w:t xml:space="preserve">&amp;</w:t>
      </w:r>
      <w:r>
        <w:rPr>
          <w:b/>
          <w:bCs/>
        </w:rPr>
        <w:t xml:space="preserve">BR</w:t>
      </w:r>
      <w:r>
        <w:t xml:space="preserve">&amp;</w:t>
      </w:r>
      <w:r>
        <w:rPr>
          <w:b/>
          <w:bCs/>
        </w:rPr>
        <w:t xml:space="preserve">FX</w:t>
      </w:r>
      <w:r>
        <w:t xml:space="preserve">&amp;</w:t>
      </w:r>
      <w:r>
        <w:rPr>
          <w:b/>
          <w:bCs/>
        </w:rPr>
        <w:t xml:space="preserve">NF</w:t>
      </w:r>
      <w:r>
        <w:t xml:space="preserve">&amp;</w:t>
      </w:r>
      <w:r>
        <w:rPr>
          <w:b/>
          <w:bCs/>
        </w:rPr>
        <w:t xml:space="preserve">VX</w:t>
      </w:r>
      <w:r>
        <w:t xml:space="preserve">&amp;</w:t>
      </w:r>
      <w:r>
        <w:t xml:space="preserve"> </w:t>
      </w:r>
      <w:r>
        <w:rPr>
          <w:b/>
          <w:bCs/>
        </w:rPr>
        <w:t xml:space="preserve">MG</w:t>
      </w:r>
      <w:r>
        <w:t xml:space="preserve">&amp;</w:t>
      </w:r>
      <w:r>
        <w:rPr>
          <w:b/>
          <w:bCs/>
        </w:rPr>
        <w:t xml:space="preserve">GP</w:t>
      </w:r>
      <w:r>
        <w:t xml:space="preserve">&amp;</w:t>
      </w:r>
      <w:r>
        <w:rPr>
          <w:b/>
          <w:bCs/>
        </w:rPr>
        <w:t xml:space="preserve">TR</w:t>
      </w:r>
      <w:r>
        <w:t xml:space="preserve">&amp;</w:t>
      </w:r>
      <w:r>
        <w:rPr>
          <w:b/>
          <w:bCs/>
        </w:rPr>
        <w:t xml:space="preserve">EP</w:t>
      </w:r>
      <w:r>
        <w:br/>
      </w:r>
      <w:r>
        <w:t xml:space="preserve">IMF1 &amp; Low &amp; 22.119 &amp; 11 &amp;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 &amp; 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w:r>
        <w:br/>
      </w:r>
      <w:r>
        <w:t xml:space="preserve">IMF2 &amp; Low &amp; 1013.630 &amp; 1 &amp;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&amp; &amp; &amp; &amp; &amp; &amp; &amp; &amp; &amp; &amp; &amp; &amp; &amp;</w:t>
      </w:r>
      <w:r>
        <w:br/>
      </w:r>
      <w:r>
        <w:t xml:space="preserve">IMF3 &amp; High &amp; 3.699 &amp; 13 &amp;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 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br/>
      </w:r>
      <w:r>
        <w:t xml:space="preserve">IMF4 &amp; High &amp; 3.620 &amp; 11 &amp;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&amp; 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 &amp; 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br/>
      </w:r>
      <w:r>
        <w:t xml:space="preserve">IMF5 &amp; High &amp; 0.861 &amp; 11 &amp;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 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 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 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br/>
      </w:r>
      <w:r>
        <w:t xml:space="preserve">IMF6 &amp; High &amp; 0.185 &amp; 14 &amp;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br/>
      </w:r>
      <w:r>
        <w:t xml:space="preserve">IMF7 &amp; High &amp; 0.077 &amp; 14 &amp;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br/>
      </w:r>
      <w:r>
        <w:t xml:space="preserve">IMF8 &amp; High &amp; 0.003 &amp; 14 &amp;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br/>
      </w:r>
      <w:r>
        <w:t xml:space="preserve">IMF9 &amp; High &amp; 0.324 &amp; 11 &amp;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 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t xml:space="preserve">&amp; &amp; &amp;</w:t>
      </w:r>
      <m:oMath>
        <m:r>
          <m:rPr>
            <m:sty m:val="p"/>
          </m:rPr>
          <m:t>✓</m:t>
        </m:r>
      </m:oMath>
      <w:r>
        <w:t xml:space="preserve">&amp;</w:t>
      </w:r>
      <m:oMath>
        <m:r>
          <m:rPr>
            <m:sty m:val="p"/>
          </m:rPr>
          <m:t>✓</m:t>
        </m:r>
      </m:oMath>
      <w:r>
        <w:br/>
      </w:r>
    </w:p>
    <w:p>
      <w:pPr>
        <w:pStyle w:val="BodyText"/>
      </w:pPr>
      <w:r>
        <w:t xml:space="preserve">Key patterns: (1) </w:t>
      </w:r>
      <w:r>
        <w:rPr>
          <w:rStyle w:val="VerbatimChar"/>
        </w:rPr>
        <w:t xml:space="preserve">mcx_silver_lag_1</w:t>
      </w:r>
      <w:r>
        <w:t xml:space="preserve"> </w:t>
      </w:r>
      <w:r>
        <w:t xml:space="preserve">selected in all 9 IMFs, confirming</w:t>
      </w:r>
      <w:r>
        <w:t xml:space="preserve"> </w:t>
      </w:r>
      <w:r>
        <w:t xml:space="preserve">strong short-run autocorrelation; (2) India EPU selected in 8/9 IMFs—the most</w:t>
      </w:r>
      <w:r>
        <w:t xml:space="preserve"> </w:t>
      </w:r>
      <w:r>
        <w:t xml:space="preserve">pervasive external driver; (3) IMF2 selects only lag-1 (zero external features),</w:t>
      </w:r>
      <w:r>
        <w:t xml:space="preserve"> </w:t>
      </w:r>
      <w:r>
        <w:t xml:space="preserve">consistent with a self-reinforcing 3-year supercycle; (4) IMF6–IMF8 select all</w:t>
      </w:r>
      <w:r>
        <w:t xml:space="preserve"> </w:t>
      </w:r>
      <w:r>
        <w:t xml:space="preserve">14 features; (5) high-complexity IMFs depend more on historical lags than</w:t>
      </w:r>
      <w:r>
        <w:t xml:space="preserve"> </w:t>
      </w:r>
      <w:r>
        <w:t xml:space="preserve">low-complexity IMFs, consistent with the findings of Liu et al. (2025).</w:t>
      </w:r>
    </w:p>
    <w:bookmarkEnd w:id="53"/>
    <w:bookmarkStart w:id="62" w:name="point-forecasting-results"/>
    <w:p>
      <w:pPr>
        <w:pStyle w:val="Heading2"/>
      </w:pPr>
      <w:r>
        <w:t xml:space="preserve">Point Forecasting Results</w:t>
      </w:r>
    </w:p>
    <w:p>
      <w:pPr>
        <w:pStyle w:val="FirstParagraph"/>
      </w:pPr>
      <w:r>
        <w:t xml:space="preserve">Table 7 reports forecasting errors for all single-model benchmarks on the 108-week</w:t>
      </w:r>
      <w:r>
        <w:t xml:space="preserve"> </w:t>
      </w:r>
      <w:r>
        <w:t xml:space="preserve">test set.</w:t>
      </w:r>
    </w:p>
    <w:p>
      <w:pPr>
        <w:pStyle w:val="BodyText"/>
      </w:pPr>
      <w:r>
        <w:rPr>
          <w:b/>
          <w:bCs/>
        </w:rPr>
        <w:t xml:space="preserve">Table 7.</w:t>
      </w:r>
      <w:r>
        <w:t xml:space="preserve"> Forecasting errors on the testing sets for single models.</w:t>
      </w:r>
      <w:r>
        <w:t xml:space="preserve"> </w:t>
      </w:r>
      <w:r>
        <w:t xml:space="preserve">DA = directional accuracy; DA</w:t>
      </w:r>
      <w:r>
        <w:t xml:space="preserve"> </w:t>
      </w:r>
      <m:oMath>
        <m:r>
          <m:t>p</m:t>
        </m:r>
      </m:oMath>
      <w:r>
        <w:t xml:space="preserve">-val tests H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t xml:space="preserve">: DA</w:t>
      </w:r>
      <m:oMath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(one-sided binomial).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L</w:t>
      </w:r>
      <w:r>
        <w:t xml:space="preserve">3.4cm</w:t>
      </w:r>
      <w:r>
        <w:t xml:space="preserve"> </w:t>
      </w:r>
      <w:r>
        <w:t xml:space="preserve">R</w:t>
      </w:r>
      <w:r>
        <w:t xml:space="preserve">2.2cm</w:t>
      </w:r>
      <w:r>
        <w:t xml:space="preserve"> </w:t>
      </w:r>
      <w:r>
        <w:t xml:space="preserve">R</w:t>
      </w:r>
      <w:r>
        <w:t xml:space="preserve">2.2cm</w:t>
      </w:r>
      <w:r>
        <w:t xml:space="preserve"> </w:t>
      </w:r>
      <w:r>
        <w:t xml:space="preserve">R</w:t>
      </w:r>
      <w:r>
        <w:t xml:space="preserve">1.6cm</w:t>
      </w:r>
      <w:r>
        <w:t xml:space="preserve"> </w:t>
      </w:r>
      <w:r>
        <w:t xml:space="preserve">R</w:t>
      </w:r>
      <w:r>
        <w:t xml:space="preserve">1.7cm</w:t>
      </w:r>
      <w:r>
        <w:t xml:space="preserve"> </w:t>
      </w:r>
      <w:r>
        <w:t xml:space="preserve">R</w:t>
      </w:r>
      <w:r>
        <w:t xml:space="preserve">1.3cm</w:t>
      </w:r>
      <w:r>
        <w:t xml:space="preserve"> </w:t>
      </w:r>
      <w:r>
        <w:t xml:space="preserve">R</w:t>
      </w:r>
      <w:r>
        <w:t xml:space="preserve">1.6cm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RMSE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MAE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MAPE (%)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sMAPE (%)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DA (%)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DA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-val</w:t>
      </w:r>
      <w:r>
        <w:br/>
      </w:r>
      <w:r>
        <w:t xml:space="preserve">ES &amp; 44,434.43 &amp; 24,157.08 &amp; 13.77 &amp; 15.31 &amp; 54.90 &amp; 0.1865</w:t>
      </w:r>
      <w:r>
        <w:br/>
      </w:r>
      <w:r>
        <w:t xml:space="preserve">ARIMA &amp; 71,519.30 &amp; 43,552.17 &amp; 24.95 &amp; 32.41 &amp; 31.37 &amp; 1.0000</w:t>
      </w:r>
      <w:r>
        <w:br/>
      </w:r>
      <w:r>
        <w:t xml:space="preserve">SVR &amp; 100,694.08 &amp; 83,094.32 &amp; 59.82 &amp; 87.45 &amp; 31.37 &amp; 1.0000</w:t>
      </w:r>
      <w:r>
        <w:br/>
      </w:r>
      <w:r>
        <w:t xml:space="preserve">RF &amp; 69,937.99 &amp; 40,934.56 &amp; 22.65 &amp; 29.53 &amp; 39.22 &amp; 0.9889</w:t>
      </w:r>
      <w:r>
        <w:br/>
      </w:r>
      <w:r>
        <w:t xml:space="preserve">MLP &amp; 123,461.59 &amp; 113,941.25 &amp; 89.33 &amp; 161.57&amp; 31.37 &amp; 1.0000</w:t>
      </w:r>
      <w:r>
        <w:br/>
      </w:r>
      <w:r>
        <w:t xml:space="preserve">ELM &amp; 97,421.38 &amp; 76,407.25 &amp; 54.53 &amp; 80.10 &amp; 31.37 &amp; 1.0000</w:t>
      </w:r>
      <w:r>
        <w:br/>
      </w:r>
      <w:r>
        <w:t xml:space="preserve">LSTM (single) &amp; 140,545.95 &amp; 128,552.85 &amp; 99.99 &amp; 199.96&amp; 31.37 &amp; 1.0000</w:t>
      </w:r>
      <w:r>
        <w:br/>
      </w:r>
      <w:r>
        <w:t xml:space="preserve">Naive (Random Walk) &amp; 11,219.77 &amp; 5,247.51 &amp; 3.26 &amp; 3.26 &amp; 0.00 &amp; 1.0000</w:t>
      </w:r>
      <w:r>
        <w:br/>
      </w:r>
    </w:p>
    <w:p>
      <w:pPr>
        <w:pStyle w:val="BodyText"/>
      </w:pPr>
      <w:r>
        <w:t xml:space="preserve">Table 8 reports forecasting errors for all decomposition-based models.</w:t>
      </w:r>
    </w:p>
    <w:p>
      <w:pPr>
        <w:pStyle w:val="BodyText"/>
      </w:pPr>
      <w:r>
        <w:rPr>
          <w:b/>
          <w:bCs/>
        </w:rPr>
        <w:t xml:space="preserve">Table 8.</w:t>
      </w:r>
      <w:r>
        <w:t xml:space="preserve"> Forecasting errors on the testing sets for the models</w:t>
      </w:r>
      <w:r>
        <w:t xml:space="preserve"> </w:t>
      </w:r>
      <w:r>
        <w:t xml:space="preserve">with decomposition techniques. Proposed row highlighted green.</w:t>
      </w:r>
    </w:p>
    <w:p>
      <w:pPr>
        <w:pStyle w:val="BodyText"/>
      </w:pPr>
      <w:r>
        <w:t xml:space="preserve">L</w:t>
      </w:r>
      <w:r>
        <w:t xml:space="preserve">3.4cm</w:t>
      </w:r>
      <w:r>
        <w:t xml:space="preserve"> </w:t>
      </w:r>
      <w:r>
        <w:t xml:space="preserve">R</w:t>
      </w:r>
      <w:r>
        <w:t xml:space="preserve">2.2cm</w:t>
      </w:r>
      <w:r>
        <w:t xml:space="preserve"> </w:t>
      </w:r>
      <w:r>
        <w:t xml:space="preserve">R</w:t>
      </w:r>
      <w:r>
        <w:t xml:space="preserve">2.2cm</w:t>
      </w:r>
      <w:r>
        <w:t xml:space="preserve"> </w:t>
      </w:r>
      <w:r>
        <w:t xml:space="preserve">R</w:t>
      </w:r>
      <w:r>
        <w:t xml:space="preserve">1.6cm</w:t>
      </w:r>
      <w:r>
        <w:t xml:space="preserve"> </w:t>
      </w:r>
      <w:r>
        <w:t xml:space="preserve">R</w:t>
      </w:r>
      <w:r>
        <w:t xml:space="preserve">1.7cm</w:t>
      </w:r>
      <w:r>
        <w:t xml:space="preserve"> </w:t>
      </w:r>
      <w:r>
        <w:t xml:space="preserve">R</w:t>
      </w:r>
      <w:r>
        <w:t xml:space="preserve">1.3cm</w:t>
      </w:r>
      <w:r>
        <w:t xml:space="preserve"> </w:t>
      </w:r>
      <w:r>
        <w:t xml:space="preserve">R</w:t>
      </w:r>
      <w:r>
        <w:t xml:space="preserve">1.6cm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RMSE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MAE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MAPE (%)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sMAPE (%)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DA (%)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DA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-val</w:t>
      </w:r>
      <w:r>
        <w:br/>
      </w:r>
      <w:r>
        <w:t xml:space="preserve">VMD-ARIMA &amp; 64,509.63 &amp; 35,049.78 &amp; 18.32 &amp; 23.60 &amp; 50.00 &amp; 0.5394</w:t>
      </w:r>
      <w:r>
        <w:br/>
      </w:r>
      <w:r>
        <w:t xml:space="preserve">VMD-LSTM &amp; 140,548.71 &amp; 128,554.03 &amp; 99.99 &amp; 199.96&amp; 31.37 &amp; 1.0000</w:t>
      </w:r>
      <w:r>
        <w:br/>
      </w:r>
      <w:r>
        <w:t xml:space="preserve">CEEMDAN-ARIMA &amp; 64,372.43 &amp; 35,055.17 &amp; 18.36 &amp; 23.62 &amp; 50.98 &amp; 0.4606</w:t>
      </w:r>
      <w:r>
        <w:br/>
      </w:r>
      <w:r>
        <w:t xml:space="preserve">CEEMDAN-LSTM &amp; 140,508.69 &amp; 128,503.80 &amp; 99.93 &amp; 199.01&amp; 31.37 &amp; 1.0000</w:t>
      </w:r>
      <w:r>
        <w:br/>
      </w:r>
      <w:r>
        <w:rPr>
          <w:b/>
          <w:bCs/>
        </w:rPr>
        <w:t xml:space="preserve">Proposed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63,708.61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34,343.79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17.88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22.94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46.08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0.8135</w:t>
      </w:r>
      <w:r>
        <w:br/>
      </w:r>
    </w:p>
    <w:p>
      <w:pPr>
        <w:pStyle w:val="BodyText"/>
      </w:pPr>
      <w:r>
        <w:t xml:space="preserve">Figure 9 shows the forecasting results using single forecasting models on the test set.</w:t>
      </w:r>
    </w:p>
    <w:p>
      <w:pPr>
        <w:pStyle w:val="BodyText"/>
      </w:pPr>
      <w:r>
        <w:drawing>
          <wp:inline>
            <wp:extent cx="5334000" cy="4614758"/>
            <wp:effectExtent b="0" l="0" r="0" t="0"/>
            <wp:docPr descr="image" title="" id="55" name="Picture"/>
            <a:graphic>
              <a:graphicData uri="http://schemas.openxmlformats.org/drawingml/2006/picture">
                <pic:pic>
                  <pic:nvPicPr>
                    <pic:cNvPr descr="fig9_single_model_forecast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4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57" w:name="fig:singleforecasts"/>
      <w:bookmarkEnd w:id="57"/>
    </w:p>
    <w:p>
      <w:pPr>
        <w:pStyle w:val="BodyText"/>
      </w:pPr>
      <w:r>
        <w:t xml:space="preserve">Figure 10 presents bar plots of forecasting error metrics across all models.</w:t>
      </w:r>
    </w:p>
    <w:p>
      <w:pPr>
        <w:pStyle w:val="BodyText"/>
      </w:pPr>
      <w:r>
        <w:drawing>
          <wp:inline>
            <wp:extent cx="5334000" cy="1472954"/>
            <wp:effectExtent b="0" l="0" r="0" t="0"/>
            <wp:docPr descr="image" title="" id="59" name="Picture"/>
            <a:graphic>
              <a:graphicData uri="http://schemas.openxmlformats.org/drawingml/2006/picture">
                <pic:pic>
                  <pic:nvPicPr>
                    <pic:cNvPr descr="fig10_error_barplot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2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61" w:name="fig:barplots"/>
      <w:bookmarkEnd w:id="61"/>
    </w:p>
    <w:p>
      <w:pPr>
        <w:pStyle w:val="BodyText"/>
      </w:pPr>
      <w:r>
        <w:t xml:space="preserve">The Proposed model achieves RMSE 63,709 and MAE 34,344 (best among decomposition</w:t>
      </w:r>
      <w:r>
        <w:t xml:space="preserve"> </w:t>
      </w:r>
      <w:r>
        <w:t xml:space="preserve">models), outperforming VMD-ARIMA by 0.9% and CEEMDAN-ARIMA by 1.0%. Critically,</w:t>
      </w:r>
      <w:r>
        <w:t xml:space="preserve"> </w:t>
      </w:r>
      <w:r>
        <w:t xml:space="preserve">VMD-LSTM and CEEMDAN-LSTM catastrophically underperform (RMSE </w:t>
      </w:r>
      <m:oMath>
        <m:r>
          <m:rPr>
            <m:sty m:val="p"/>
          </m:rPr>
          <m:t>≈</m:t>
        </m:r>
        <m:r>
          <m:t>140</m:t>
        </m:r>
        <m:r>
          <m:rPr>
            <m:sty m:val="p"/>
          </m:rPr>
          <m:t>,</m:t>
        </m:r>
        <m:r>
          <m:t>000</m:t>
        </m:r>
      </m:oMath>
      <w:r>
        <w:t xml:space="preserve">),</w:t>
      </w:r>
      <w:r>
        <w:t xml:space="preserve"> </w:t>
      </w:r>
      <w:r>
        <w:t xml:space="preserve">confirming that applying LSTM uniformly across all IMFs—including the smooth secular</w:t>
      </w:r>
      <w:r>
        <w:t xml:space="preserve"> </w:t>
      </w:r>
      <w:r>
        <w:t xml:space="preserve">trend—causes severe overfitting.</w:t>
      </w:r>
    </w:p>
    <w:bookmarkEnd w:id="62"/>
    <w:bookmarkStart w:id="63" w:name="Xfe841944428c505a95b7bab77ac8e67023f7bdc"/>
    <w:p>
      <w:pPr>
        <w:pStyle w:val="Heading2"/>
      </w:pPr>
      <w:r>
        <w:t xml:space="preserve">Statistical Validation: Diebold–Mariano Test</w:t>
      </w:r>
    </w:p>
    <w:p>
      <w:pPr>
        <w:pStyle w:val="FirstParagraph"/>
      </w:pPr>
      <w:r>
        <w:t xml:space="preserve">Table 9 presents the full</w:t>
      </w:r>
      <w:r>
        <w:t xml:space="preserve"> </w:t>
      </w:r>
      <m:oMath>
        <m:r>
          <m:t>12</m:t>
        </m:r>
        <m:r>
          <m:rPr>
            <m:sty m:val="p"/>
          </m:rPr>
          <m:t>×</m:t>
        </m:r>
        <m:r>
          <m:t>12</m:t>
        </m:r>
      </m:oMath>
      <w:r>
        <w:t xml:space="preserve"> </w:t>
      </w:r>
      <w:r>
        <w:t xml:space="preserve">DM test results.</w:t>
      </w:r>
    </w:p>
    <w:p>
      <w:pPr>
        <w:pStyle w:val="BodyText"/>
      </w:pPr>
      <w:r>
        <w:rPr>
          <w:b/>
          <w:bCs/>
        </w:rPr>
        <w:t xml:space="preserve">Table 9.</w:t>
      </w:r>
      <w:r>
        <w:t xml:space="preserve"> The results of DM-test. Positive statistic = row model more</w:t>
      </w:r>
      <w:r>
        <w:t xml:space="preserve"> </w:t>
      </w:r>
      <w:r>
        <w:t xml:space="preserve">accurate.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. Proposed row highlighted green.</w:t>
      </w:r>
    </w:p>
    <w:p>
      <w:pPr>
        <w:pStyle w:val="BodyText"/>
      </w:pPr>
      <w:r>
        <w:t xml:space="preserve">L</w:t>
      </w:r>
      <w:r>
        <w:t xml:space="preserve">2.1cm</w:t>
      </w:r>
      <w:r>
        <w:t xml:space="preserve"> </w:t>
      </w:r>
      <w:r>
        <w:t xml:space="preserve">C</w:t>
      </w:r>
      <w:r>
        <w:t xml:space="preserve">1.1cm</w:t>
      </w:r>
      <w:r>
        <w:t xml:space="preserve"> </w:t>
      </w:r>
      <w:r>
        <w:t xml:space="preserve">C</w:t>
      </w:r>
      <w:r>
        <w:t xml:space="preserve">1.1cm</w:t>
      </w:r>
      <w:r>
        <w:t xml:space="preserve"> </w:t>
      </w:r>
      <w:r>
        <w:t xml:space="preserve">C</w:t>
      </w:r>
      <w:r>
        <w:t xml:space="preserve">1.1cm</w:t>
      </w:r>
      <w:r>
        <w:t xml:space="preserve"> </w:t>
      </w:r>
      <w:r>
        <w:t xml:space="preserve">C</w:t>
      </w:r>
      <w:r>
        <w:t xml:space="preserve">1.1cm</w:t>
      </w:r>
      <w:r>
        <w:t xml:space="preserve"> </w:t>
      </w:r>
      <w:r>
        <w:t xml:space="preserve">C</w:t>
      </w:r>
      <w:r>
        <w:t xml:space="preserve">1.1cm</w:t>
      </w:r>
      <w:r>
        <w:t xml:space="preserve"> </w:t>
      </w:r>
      <w:r>
        <w:t xml:space="preserve">C</w:t>
      </w:r>
      <w:r>
        <w:t xml:space="preserve">1.1cm</w:t>
      </w:r>
      <w:r>
        <w:t xml:space="preserve"> </w:t>
      </w:r>
      <w:r>
        <w:t xml:space="preserve">C</w:t>
      </w:r>
      <w:r>
        <w:t xml:space="preserve">1.1cm</w:t>
      </w:r>
      <w:r>
        <w:t xml:space="preserve"> </w:t>
      </w:r>
      <w:r>
        <w:t xml:space="preserve">C</w:t>
      </w:r>
      <w:r>
        <w:t xml:space="preserve">1.3cm</w:t>
      </w:r>
      <w:r>
        <w:t xml:space="preserve"> </w:t>
      </w:r>
      <w:r>
        <w:t xml:space="preserve">C</w:t>
      </w:r>
      <w:r>
        <w:t xml:space="preserve">1.3cm</w:t>
      </w:r>
      <w:r>
        <w:t xml:space="preserve"> </w:t>
      </w:r>
      <w:r>
        <w:t xml:space="preserve">C</w:t>
      </w:r>
      <w:r>
        <w:t xml:space="preserve">1.5cm</w:t>
      </w:r>
      <w:r>
        <w:t xml:space="preserve"> </w:t>
      </w:r>
      <w:r>
        <w:t xml:space="preserve">C</w:t>
      </w:r>
      <w:r>
        <w:t xml:space="preserve">1.5cm</w:t>
      </w:r>
      <w:r>
        <w:t xml:space="preserve"> </w:t>
      </w:r>
      <w:r>
        <w:rPr>
          <w:b/>
          <w:bCs/>
        </w:rPr>
        <w:t xml:space="preserve">Row vs Col.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ARIMA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SVR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RF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MLP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ELM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LSTM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VMD-AR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VMD-LS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CEEM-AR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CEEM-LS</w:t>
      </w:r>
      <w:r>
        <w:br/>
      </w:r>
      <w:r>
        <w:t xml:space="preserve">ES &amp; — &amp;</w:t>
      </w:r>
      <w:r>
        <w:t xml:space="preserve"> </w:t>
      </w:r>
      <m:oMath>
        <m:sSup>
          <m:e>
            <m:r>
              <m:t>5.31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7.87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5.19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13.22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6.20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11.48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4.86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11.48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4.88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11.49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br/>
      </w:r>
      <w:r>
        <w:t xml:space="preserve">ARIMA 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5.31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 — &amp;</w:t>
      </w:r>
      <w:r>
        <w:t xml:space="preserve"> </w:t>
      </w:r>
      <m:oMath>
        <m:sSup>
          <m:e>
            <m:r>
              <m:t>11.17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7.46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23.16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6.43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15.21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6.67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15.21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6.52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15.23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br/>
      </w:r>
      <w:r>
        <w:t xml:space="preserve">SVR 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7.87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11.17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 — 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10.94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36.75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r>
          <m:t>1.47</m:t>
        </m:r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18.77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10.08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18.76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10.02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18.79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br/>
      </w:r>
      <w:r>
        <w:t xml:space="preserve">RF 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5.19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7.46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10.94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 — &amp;</w:t>
      </w:r>
      <w:r>
        <w:t xml:space="preserve"> </w:t>
      </w:r>
      <m:oMath>
        <m:sSup>
          <m:e>
            <m:r>
              <m:t>22.22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6.54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14.98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6.44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14.98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6.24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14.99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br/>
      </w:r>
      <w:r>
        <w:t xml:space="preserve">MLP 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13.22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23.16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36.75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22.22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 — 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10.99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8.02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19.29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8.02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19.15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8.03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br/>
      </w:r>
      <w:r>
        <w:t xml:space="preserve">ELM 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6.20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6.43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1.47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6.54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10.99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 — &amp;</w:t>
      </w:r>
      <w:r>
        <w:t xml:space="preserve"> </w:t>
      </w:r>
      <m:oMath>
        <m:sSup>
          <m:e>
            <m:r>
              <m:t>16.65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6.69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16.65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6.65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16.61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br/>
      </w:r>
      <w:r>
        <w:t xml:space="preserve">LSTM 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11.48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15.21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18.77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14.98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8.02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16.65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 — 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14.11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2.66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14.06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r>
          <m:t>0.65</m:t>
        </m:r>
      </m:oMath>
      <w:r>
        <w:br/>
      </w:r>
      <w:r>
        <w:t xml:space="preserve">VMD-ARIMA 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4.86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6.67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10.08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6.44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19.29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6.69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14.11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 — &amp;</w:t>
      </w:r>
      <w:r>
        <w:t xml:space="preserve"> </w:t>
      </w:r>
      <m:oMath>
        <m:sSup>
          <m:e>
            <m:r>
              <m:t>14.11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r>
          <m:t>1.18</m:t>
        </m:r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14.12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br/>
      </w:r>
      <w:r>
        <w:t xml:space="preserve">VMD-LSTM 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11.48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15.21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18.76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14.98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8.02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16.65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2.66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14.11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 — 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14.06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r>
          <m:t>0.70</m:t>
        </m:r>
      </m:oMath>
      <w:r>
        <w:br/>
      </w:r>
      <w:r>
        <w:t xml:space="preserve">CEEMDAN-ARIMA 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4.88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6.52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10.02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6.24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19.15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6.65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14.06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1.18</m:t>
        </m:r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14.06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 — &amp;</w:t>
      </w:r>
      <w:r>
        <w:t xml:space="preserve"> </w:t>
      </w:r>
      <m:oMath>
        <m:sSup>
          <m:e>
            <m:r>
              <m:t>14.07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br/>
      </w:r>
      <w:r>
        <w:t xml:space="preserve">CEEMDAN-LSTM 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11.49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15.23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18.79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14.99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8.03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16.61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0.65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14.12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0.70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14.07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 —</w:t>
      </w:r>
      <w:r>
        <w:br/>
      </w:r>
      <w:r>
        <w:rPr>
          <w:b/>
          <w:bCs/>
        </w:rPr>
        <w:t xml:space="preserve">Proposed</w:t>
      </w:r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b"/>
          </m:rPr>
          <m:t>−</m:t>
        </m:r>
        <m:sSup>
          <m:e>
            <m:r>
              <m:rPr>
                <m:sty m:val="b"/>
              </m:rPr>
              <m:t>4.81</m:t>
            </m:r>
          </m:e>
          <m:sup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rPr>
                <m:sty m:val="b"/>
              </m:rPr>
              <m:t>6.60</m:t>
            </m:r>
          </m:e>
          <m:sup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rPr>
                <m:sty m:val="b"/>
              </m:rPr>
              <m:t>9.97</m:t>
            </m:r>
          </m:e>
          <m:sup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rPr>
                <m:sty m:val="b"/>
              </m:rPr>
              <m:t>6.39</m:t>
            </m:r>
          </m:e>
          <m:sup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rPr>
                <m:sty m:val="b"/>
              </m:rPr>
              <m:t>18.94</m:t>
            </m:r>
          </m:e>
          <m:sup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rPr>
                <m:sty m:val="b"/>
              </m:rPr>
              <m:t>6.70</m:t>
            </m:r>
          </m:e>
          <m:sup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rPr>
                <m:sty m:val="b"/>
              </m:rPr>
              <m:t>13.99</m:t>
            </m:r>
          </m:e>
          <m:sup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rPr>
                <m:sty m:val="b"/>
              </m:rPr>
              <m:t>5.89</m:t>
            </m:r>
          </m:e>
          <m:sup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rPr>
                <m:sty m:val="b"/>
              </m:rPr>
              <m:t>13.99</m:t>
            </m:r>
          </m:e>
          <m:sup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rPr>
                <m:sty m:val="b"/>
              </m:rPr>
              <m:t>4.42</m:t>
            </m:r>
          </m:e>
          <m:sup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rPr>
                <m:sty m:val="b"/>
              </m:rPr>
              <m:t>14.00</m:t>
            </m:r>
          </m:e>
          <m:sup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  <m:r>
              <m:rPr>
                <m:sty m:val="b"/>
              </m:rPr>
              <m:t>*</m:t>
            </m:r>
          </m:sup>
        </m:sSup>
      </m:oMath>
      <w:r>
        <w:br/>
      </w:r>
    </w:p>
    <w:p>
      <w:pPr>
        <w:pStyle w:val="BodyText"/>
      </w:pPr>
      <w:r>
        <w:t xml:space="preserve">VMD-LSTM scores</w:t>
      </w:r>
      <w:r>
        <w:t xml:space="preserve"> </w:t>
      </w:r>
      <m:oMath>
        <m:r>
          <m:t>D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14.11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against VMD-ARIMA, meaning applying LSTM uniformly</w:t>
      </w:r>
      <w:r>
        <w:t xml:space="preserve"> </w:t>
      </w:r>
      <w:r>
        <w:t xml:space="preserve">across all IMFs is</w:t>
      </w:r>
      <w:r>
        <w:t xml:space="preserve"> </w:t>
      </w:r>
      <w:r>
        <w:rPr>
          <w:i/>
          <w:iCs/>
        </w:rPr>
        <w:t xml:space="preserve">significantly worse</w:t>
      </w:r>
      <w:r>
        <w:t xml:space="preserve"> </w:t>
      </w:r>
      <w:r>
        <w:t xml:space="preserve">than uniform ARIMA. The Proposed model</w:t>
      </w:r>
      <w:r>
        <w:t xml:space="preserve"> </w:t>
      </w:r>
      <w:r>
        <w:t xml:space="preserve">beats VMD-ARIMA at</w:t>
      </w:r>
      <w:r>
        <w:t xml:space="preserve"> </w:t>
      </w:r>
      <m:oMath>
        <m:r>
          <m:t>D</m:t>
        </m:r>
        <m:r>
          <m:t>M</m:t>
        </m:r>
        <m:r>
          <m:rPr>
            <m:sty m:val="p"/>
          </m:rPr>
          <m:t>=</m:t>
        </m:r>
        <m:sSup>
          <m:e>
            <m:r>
              <m:t>5.89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, confirming that ApEn-guided complexity assignment</w:t>
      </w:r>
      <w:r>
        <w:t xml:space="preserve"> </w:t>
      </w:r>
      <w:r>
        <w:t xml:space="preserve">is the critical methodological contribution.</w:t>
      </w:r>
    </w:p>
    <w:bookmarkEnd w:id="63"/>
    <w:bookmarkStart w:id="68" w:name="interval-forecasting"/>
    <w:p>
      <w:pPr>
        <w:pStyle w:val="Heading2"/>
      </w:pPr>
      <w:r>
        <w:t xml:space="preserve">Interval Forecasting</w:t>
      </w:r>
    </w:p>
    <w:p>
      <w:pPr>
        <w:pStyle w:val="FirstParagraph"/>
      </w:pPr>
      <w:r>
        <w:t xml:space="preserve">Figure 11 presents the interval forecasting results.</w:t>
      </w:r>
    </w:p>
    <w:p>
      <w:pPr>
        <w:pStyle w:val="BodyText"/>
      </w:pPr>
      <w:r>
        <w:drawing>
          <wp:inline>
            <wp:extent cx="5334000" cy="1877014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fig11_interval_forecast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7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67" w:name="fig:interval"/>
      <w:bookmarkEnd w:id="67"/>
    </w:p>
    <w:p>
      <w:pPr>
        <w:pStyle w:val="BodyText"/>
      </w:pPr>
      <w:r>
        <w:t xml:space="preserve">Table 10 presents interval forecasting errors on the testing set using the iMLP model.</w:t>
      </w:r>
    </w:p>
    <w:p>
      <w:pPr>
        <w:pStyle w:val="BodyText"/>
      </w:pPr>
      <w:r>
        <w:rPr>
          <w:b/>
          <w:bCs/>
        </w:rPr>
        <w:t xml:space="preserve">Table 10.</w:t>
      </w:r>
      <w:r>
        <w:t xml:space="preserve"> Interval forecasting errors on the testing sets using</w:t>
      </w:r>
      <w:r>
        <w:t xml:space="preserve"> </w:t>
      </w:r>
      <w:r>
        <w:t xml:space="preserve">the iMLP model. U = Theil statistic; ARV = Average Relative Variance; RMSDE = Root</w:t>
      </w:r>
      <w:r>
        <w:t xml:space="preserve"> </w:t>
      </w:r>
      <w:r>
        <w:t xml:space="preserve">Mean Square Distance Error; CR = Coverage Ratio.</w:t>
      </w:r>
    </w:p>
    <w:p>
      <w:pPr>
        <w:pStyle w:val="BodyText"/>
      </w:pPr>
      <w:r>
        <w:t xml:space="preserve">L</w:t>
      </w:r>
      <w:r>
        <w:t xml:space="preserve">4.5cm</w:t>
      </w:r>
      <w:r>
        <w:t xml:space="preserve"> </w:t>
      </w:r>
      <w:r>
        <w:t xml:space="preserve">C</w:t>
      </w:r>
      <w:r>
        <w:t xml:space="preserve">2.0cm</w:t>
      </w:r>
      <w:r>
        <w:t xml:space="preserve"> </w:t>
      </w:r>
      <w:r>
        <w:t xml:space="preserve">C</w:t>
      </w:r>
      <w:r>
        <w:t xml:space="preserve">2.0cm</w:t>
      </w:r>
      <w:r>
        <w:t xml:space="preserve"> </w:t>
      </w:r>
      <w:r>
        <w:t xml:space="preserve">C</w:t>
      </w:r>
      <w:r>
        <w:t xml:space="preserve">2.6cm</w:t>
      </w:r>
      <w:r>
        <w:t xml:space="preserve"> </w:t>
      </w:r>
      <w:r>
        <w:t xml:space="preserve">C</w:t>
      </w:r>
      <w:r>
        <w:t xml:space="preserve">2.0cm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U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ARV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RMSDE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CR</w:t>
      </w:r>
      <w:r>
        <w:br/>
      </w:r>
      <w:r>
        <w:t xml:space="preserve">Silver (Proposed) &amp; 0.1014 &amp; 1.2577 &amp; 63,708.61 &amp; 0.2816</w:t>
      </w:r>
      <w:r>
        <w:br/>
      </w:r>
    </w:p>
    <w:p>
      <w:pPr>
        <w:pStyle w:val="BodyText"/>
      </w:pPr>
      <w:r>
        <w:t xml:space="preserve">The coverage ratio of 28.2% is below the nominal 95% target—a structural</w:t>
      </w:r>
      <w:r>
        <w:t xml:space="preserve"> </w:t>
      </w:r>
      <w:r>
        <w:t xml:space="preserve">consequence of the test-period regime change, where prices surged far beyond any band</w:t>
      </w:r>
      <w:r>
        <w:t xml:space="preserve"> </w:t>
      </w:r>
      <w:r>
        <w:t xml:space="preserve">calibrated on training-period volatility (ARV</w:t>
      </w:r>
      <m:oMath>
        <m:r>
          <m:rPr>
            <m:sty m:val="p"/>
          </m:rPr>
          <m:t>&gt;</m:t>
        </m:r>
        <m:r>
          <m:t>1</m:t>
        </m:r>
      </m:oMath>
      <w:r>
        <w:t xml:space="preserve">).</w:t>
      </w:r>
    </w:p>
    <w:bookmarkEnd w:id="68"/>
    <w:bookmarkStart w:id="77" w:name="trading-strategy-results"/>
    <w:p>
      <w:pPr>
        <w:pStyle w:val="Heading2"/>
      </w:pPr>
      <w:r>
        <w:t xml:space="preserve">Trading Strategy Results</w:t>
      </w:r>
    </w:p>
    <w:p>
      <w:pPr>
        <w:pStyle w:val="FirstParagraph"/>
      </w:pPr>
      <w:r>
        <w:t xml:space="preserve">Figure 12 provides a graph illustration of the proposed trading strategy mechanism.</w:t>
      </w:r>
    </w:p>
    <w:p>
      <w:pPr>
        <w:pStyle w:val="BodyText"/>
      </w:pPr>
      <w:r>
        <w:drawing>
          <wp:inline>
            <wp:extent cx="5334000" cy="1879722"/>
            <wp:effectExtent b="0" l="0" r="0" t="0"/>
            <wp:docPr descr="image" title="" id="70" name="Picture"/>
            <a:graphic>
              <a:graphicData uri="http://schemas.openxmlformats.org/drawingml/2006/picture">
                <pic:pic>
                  <pic:nvPicPr>
                    <pic:cNvPr descr="fig12_trading_strategy_illustratio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72" w:name="fig:strategy"/>
      <w:bookmarkEnd w:id="72"/>
    </w:p>
    <w:p>
      <w:pPr>
        <w:pStyle w:val="BodyText"/>
      </w:pPr>
      <w:r>
        <w:t xml:space="preserve">Table 11 reports the performance of both trading schemes and their interval-constrained</w:t>
      </w:r>
      <w:r>
        <w:t xml:space="preserve"> </w:t>
      </w:r>
      <w:r>
        <w:t xml:space="preserve">versions based on decomposition model forecasts.</w:t>
      </w:r>
    </w:p>
    <w:p>
      <w:pPr>
        <w:pStyle w:val="BodyText"/>
      </w:pPr>
      <w:r>
        <w:rPr>
          <w:b/>
          <w:bCs/>
        </w:rPr>
        <w:t xml:space="preserve">Table 11.</w:t>
      </w:r>
      <w:r>
        <w:t xml:space="preserve"> Performance of two trading schemes and their optimised</w:t>
      </w:r>
      <w:r>
        <w:t xml:space="preserve"> </w:t>
      </w:r>
      <w:r>
        <w:t xml:space="preserve">versions with interval constraints based on decomposition model forecasts. Enhancement</w:t>
      </w:r>
      <w:r>
        <w:t xml:space="preserve"> </w:t>
      </w:r>
      <w:r>
        <w:t xml:space="preserve">in cumulative return shown in parentheses (bold). Most profitable per scheme</w:t>
      </w:r>
      <w:r>
        <w:t xml:space="preserve"> </w:t>
      </w:r>
      <w:r>
        <w:t xml:space="preserve">underlined. Asterisk (*) = loss in unconstrained scheme.</w:t>
      </w:r>
    </w:p>
    <w:p>
      <w:pPr>
        <w:pStyle w:val="BodyText"/>
      </w:pPr>
      <w:r>
        <w:t xml:space="preserve">L</w:t>
      </w:r>
      <w:r>
        <w:t xml:space="preserve">1.5cm</w:t>
      </w:r>
      <w:r>
        <w:t xml:space="preserve"> </w:t>
      </w:r>
      <w:r>
        <w:t xml:space="preserve">L</w:t>
      </w:r>
      <w:r>
        <w:t xml:space="preserve">2.5cm</w:t>
      </w:r>
      <w:r>
        <w:t xml:space="preserve"> </w:t>
      </w:r>
      <w:r>
        <w:t xml:space="preserve">R</w:t>
      </w:r>
      <w:r>
        <w:t xml:space="preserve">2.5cm</w:t>
      </w:r>
      <w:r>
        <w:t xml:space="preserve"> </w:t>
      </w:r>
      <w:r>
        <w:t xml:space="preserve">R</w:t>
      </w:r>
      <w:r>
        <w:t xml:space="preserve">1.6cm</w:t>
      </w:r>
      <w:r>
        <w:t xml:space="preserve"> </w:t>
      </w:r>
      <w:r>
        <w:t xml:space="preserve">R</w:t>
      </w:r>
      <w:r>
        <w:t xml:space="preserve">1.6cm</w:t>
      </w:r>
      <w:r>
        <w:t xml:space="preserve"> </w:t>
      </w:r>
      <w:r>
        <w:t xml:space="preserve">R</w:t>
      </w:r>
      <w:r>
        <w:t xml:space="preserve">1.4cm</w:t>
      </w:r>
      <w:r>
        <w:t xml:space="preserve"> </w:t>
      </w:r>
      <w:r>
        <w:t xml:space="preserve">R</w:t>
      </w:r>
      <w:r>
        <w:t xml:space="preserve">1.3cm</w:t>
      </w:r>
      <w:r>
        <w:t xml:space="preserve"> </w:t>
      </w:r>
      <w:r>
        <w:rPr>
          <w:b/>
          <w:bCs/>
        </w:rPr>
        <w:t xml:space="preserve">Scheme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Cum. Return (%)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Avg Ret (%)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Max DD (%)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Sharpe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N Trades</w:t>
      </w:r>
      <w:r>
        <w:br/>
      </w:r>
      <w:r>
        <w:t xml:space="preserve">&amp; VMD-ARIMA &amp; 7.5182 &amp; 0.1994 &amp; 50.6279 &amp; 0.2945 &amp; 102</w:t>
      </w:r>
      <w:r>
        <w:br/>
      </w:r>
      <w:r>
        <w:t xml:space="preserve">&amp; VMD-LSTM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52.4623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0.6036&amp; 64.6692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0.8962&amp; 102</w:t>
      </w:r>
      <w:r>
        <w:br/>
      </w:r>
      <w:r>
        <w:t xml:space="preserve">&amp; CEEMDAN-ARIMA &amp; 8.4349 &amp; 0.2056 &amp; 45.0913 &amp; 0.3037 &amp; 102</w:t>
      </w:r>
      <w:r>
        <w:br/>
      </w:r>
      <w:r>
        <w:t xml:space="preserve">&amp; CEEMDAN-LSTM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70.6649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1.0820&amp; 76.5415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1.6331&amp; 102</w:t>
      </w:r>
      <w:r>
        <w:br/>
      </w:r>
      <w:r>
        <w:t xml:space="preserve">&amp;</w:t>
      </w:r>
      <w:r>
        <w:t xml:space="preserve"> </w:t>
      </w:r>
      <w:r>
        <w:rPr>
          <w:b/>
          <w:bCs/>
          <w:u w:val="single"/>
        </w:rPr>
        <w:t xml:space="preserve">Proposed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  <w:u w:val="single"/>
        </w:rPr>
        <w:t xml:space="preserve">187.1550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1.1556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27.7176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1.7591</w:t>
      </w:r>
      <w:r>
        <w:t xml:space="preserve"> </w:t>
      </w:r>
      <w:r>
        <w:t xml:space="preserve">&amp; 102</w:t>
      </w:r>
      <w:r>
        <w:br/>
      </w:r>
      <w:r>
        <w:t xml:space="preserve">&amp; VMD-ARIMA &amp; 52.1144 (</w:t>
      </w:r>
      <w:r>
        <w:rPr>
          <w:b/>
          <w:bCs/>
        </w:rPr>
        <w:t xml:space="preserve">+44.60</w:t>
      </w:r>
      <w:r>
        <w:t xml:space="preserve">) &amp; 0.4229 &amp; 4.3968 &amp; 2.0493 &amp; 30</w:t>
      </w:r>
      <w:r>
        <w:br/>
      </w:r>
      <w:r>
        <w:t xml:space="preserve">&amp; VMD-LSTM &amp; 30.0091 (</w:t>
      </w:r>
      <w:r>
        <w:rPr>
          <w:b/>
          <w:bCs/>
        </w:rPr>
        <w:t xml:space="preserve">+82.47</w:t>
      </w:r>
      <w:r>
        <w:t xml:space="preserve">) &amp; 0.2691 &amp; 4.5484 &amp; 1.2693 &amp; 30</w:t>
      </w:r>
      <w:r>
        <w:br/>
      </w:r>
      <w:r>
        <w:t xml:space="preserve">&amp; CEEMDAN-ARIMA &amp; 23.6603 (</w:t>
      </w:r>
      <w:r>
        <w:rPr>
          <w:b/>
          <w:bCs/>
        </w:rPr>
        <w:t xml:space="preserve">+15.23</w:t>
      </w:r>
      <w:r>
        <w:t xml:space="preserve">) &amp; 0.2202 &amp; 8.1908 &amp; 1.0326 &amp; 30</w:t>
      </w:r>
      <w:r>
        <w:br/>
      </w:r>
      <w:r>
        <w:t xml:space="preserve">&amp; CEEMDAN-LSTM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21.8179 (</w:t>
      </w:r>
      <w:r>
        <w:rPr>
          <w:b/>
          <w:bCs/>
        </w:rPr>
        <w:t xml:space="preserve">+48.85</w:t>
      </w:r>
      <w:r>
        <w:t xml:space="preserve">)&amp;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0.2289&amp; 29.9639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1.0639&amp; 30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15.1784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rPr>
          <w:b/>
          <w:bCs/>
        </w:rPr>
        <w:t xml:space="preserve">171.98</w:t>
      </w:r>
      <w:r>
        <w:t xml:space="preserve">) &amp; 0.1505 &amp;</w:t>
      </w:r>
      <w:r>
        <w:t xml:space="preserve"> </w:t>
      </w:r>
      <w:r>
        <w:rPr>
          <w:b/>
          <w:bCs/>
        </w:rPr>
        <w:t xml:space="preserve">10.8707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0.7010</w:t>
      </w:r>
      <w:r>
        <w:t xml:space="preserve"> </w:t>
      </w:r>
      <w:r>
        <w:t xml:space="preserve">&amp; 30</w:t>
      </w:r>
      <w:r>
        <w:br/>
      </w:r>
      <w:r>
        <w:t xml:space="preserve">&amp; VMD-ARIMA &amp; 14.7211 &amp; 0.2463 &amp; 49.8568 &amp; 0.3917 &amp; 92</w:t>
      </w:r>
      <w:r>
        <w:br/>
      </w:r>
      <w:r>
        <w:t xml:space="preserve">&amp; VMD-LSTM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52.4623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0.6036&amp; 64.6692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0.8962&amp; 102</w:t>
      </w:r>
      <w:r>
        <w:br/>
      </w:r>
      <w:r>
        <w:t xml:space="preserve">&amp; CEEMDAN-ARIMA &amp; 8.4349 &amp; 0.2056 &amp; 45.0913 &amp; 0.3037 &amp; 102</w:t>
      </w:r>
      <w:r>
        <w:br/>
      </w:r>
      <w:r>
        <w:t xml:space="preserve">&amp; CEEMDAN-LSTM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70.6649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1.0820&amp; 76.5415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1.6331&amp; 102</w:t>
      </w:r>
      <w:r>
        <w:br/>
      </w:r>
      <w:r>
        <w:t xml:space="preserve">&amp;</w:t>
      </w:r>
      <w:r>
        <w:t xml:space="preserve"> </w:t>
      </w:r>
      <w:r>
        <w:rPr>
          <w:b/>
          <w:bCs/>
          <w:u w:val="single"/>
        </w:rPr>
        <w:t xml:space="preserve">Proposed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  <w:u w:val="single"/>
        </w:rPr>
        <w:t xml:space="preserve">23.1753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0.2234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10.9347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0.8311</w:t>
      </w:r>
      <w:r>
        <w:t xml:space="preserve"> </w:t>
      </w:r>
      <w:r>
        <w:t xml:space="preserve">&amp; 56</w:t>
      </w:r>
      <w:r>
        <w:br/>
      </w:r>
      <w:r>
        <w:t xml:space="preserve">&amp; VMD-ARIMA &amp; 43.7354 (</w:t>
      </w:r>
      <w:r>
        <w:rPr>
          <w:b/>
          <w:bCs/>
        </w:rPr>
        <w:t xml:space="preserve">+29.01</w:t>
      </w:r>
      <w:r>
        <w:t xml:space="preserve">) &amp; 0.3651 &amp; 3.3695 &amp; 1.9698 &amp; 27</w:t>
      </w:r>
      <w:r>
        <w:br/>
      </w:r>
      <w:r>
        <w:t xml:space="preserve">&amp; VMD-LSTM &amp; 30.0091 (</w:t>
      </w:r>
      <w:r>
        <w:rPr>
          <w:b/>
          <w:bCs/>
        </w:rPr>
        <w:t xml:space="preserve">+82.47</w:t>
      </w:r>
      <w:r>
        <w:t xml:space="preserve">) &amp; 0.2691 &amp; 4.5484 &amp; 1.2693 &amp; 30</w:t>
      </w:r>
      <w:r>
        <w:br/>
      </w:r>
      <w:r>
        <w:t xml:space="preserve">&amp; CEEMDAN-ARIMA &amp; 23.6603 (</w:t>
      </w:r>
      <w:r>
        <w:rPr>
          <w:b/>
          <w:bCs/>
        </w:rPr>
        <w:t xml:space="preserve">+15.23</w:t>
      </w:r>
      <w:r>
        <w:t xml:space="preserve">) &amp; 0.2202 &amp; 8.1908 &amp; 1.0326 &amp; 30</w:t>
      </w:r>
      <w:r>
        <w:br/>
      </w:r>
      <w:r>
        <w:t xml:space="preserve">&amp; CEEMDAN-LSTM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21.8179 (</w:t>
      </w:r>
      <w:r>
        <w:rPr>
          <w:b/>
          <w:bCs/>
        </w:rPr>
        <w:t xml:space="preserve">+48.85</w:t>
      </w:r>
      <w:r>
        <w:t xml:space="preserve">)&amp;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0.2289&amp; 29.9639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1.0639&amp; 30</w:t>
      </w:r>
      <w:r>
        <w:br/>
      </w:r>
      <w:r>
        <w:t xml:space="preserve">&amp;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7.7751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rPr>
          <w:b/>
          <w:bCs/>
        </w:rPr>
        <w:t xml:space="preserve">15.40</w:t>
      </w:r>
      <w:r>
        <w:t xml:space="preserve">) &amp; 0.0832 &amp;</w:t>
      </w:r>
      <w:r>
        <w:t xml:space="preserve"> </w:t>
      </w:r>
      <w:r>
        <w:rPr>
          <w:b/>
          <w:bCs/>
        </w:rPr>
        <w:t xml:space="preserve">10.8707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0.4295</w:t>
      </w:r>
      <w:r>
        <w:t xml:space="preserve"> </w:t>
      </w:r>
      <w:r>
        <w:t xml:space="preserve">&amp; 29</w:t>
      </w:r>
      <w:r>
        <w:br/>
      </w:r>
    </w:p>
    <w:p>
      <w:pPr>
        <w:pStyle w:val="BodyText"/>
      </w:pPr>
      <w:r>
        <w:t xml:space="preserve">Table 12 reports the performance of the schemes based on single-model forecasts.</w:t>
      </w:r>
    </w:p>
    <w:p>
      <w:pPr>
        <w:pStyle w:val="BodyText"/>
      </w:pPr>
      <w:r>
        <w:rPr>
          <w:b/>
          <w:bCs/>
        </w:rPr>
        <w:t xml:space="preserve">Table 12.</w:t>
      </w:r>
      <w:r>
        <w:t xml:space="preserve"> Performance of two trading schemes and their optimised</w:t>
      </w:r>
      <w:r>
        <w:t xml:space="preserve"> </w:t>
      </w:r>
      <w:r>
        <w:t xml:space="preserve">versions with interval constraints based on single model forecasts. Enhancement in</w:t>
      </w:r>
      <w:r>
        <w:t xml:space="preserve"> </w:t>
      </w:r>
      <w:r>
        <w:t xml:space="preserve">cumulative return shown in parentheses. Asterisk (*) = loss in unconstrained scheme.</w:t>
      </w:r>
    </w:p>
    <w:p>
      <w:pPr>
        <w:pStyle w:val="BodyText"/>
      </w:pPr>
      <w:r>
        <w:t xml:space="preserve">L</w:t>
      </w:r>
      <w:r>
        <w:t xml:space="preserve">1.5cm</w:t>
      </w:r>
      <w:r>
        <w:t xml:space="preserve"> </w:t>
      </w:r>
      <w:r>
        <w:t xml:space="preserve">L</w:t>
      </w:r>
      <w:r>
        <w:t xml:space="preserve">1.8cm</w:t>
      </w:r>
      <w:r>
        <w:t xml:space="preserve"> </w:t>
      </w:r>
      <w:r>
        <w:t xml:space="preserve">R</w:t>
      </w:r>
      <w:r>
        <w:t xml:space="preserve">2.6cm</w:t>
      </w:r>
      <w:r>
        <w:t xml:space="preserve"> </w:t>
      </w:r>
      <w:r>
        <w:t xml:space="preserve">R</w:t>
      </w:r>
      <w:r>
        <w:t xml:space="preserve">1.6cm</w:t>
      </w:r>
      <w:r>
        <w:t xml:space="preserve"> </w:t>
      </w:r>
      <w:r>
        <w:t xml:space="preserve">R</w:t>
      </w:r>
      <w:r>
        <w:t xml:space="preserve">1.6cm</w:t>
      </w:r>
      <w:r>
        <w:t xml:space="preserve"> </w:t>
      </w:r>
      <w:r>
        <w:t xml:space="preserve">R</w:t>
      </w:r>
      <w:r>
        <w:t xml:space="preserve">1.4cm</w:t>
      </w:r>
      <w:r>
        <w:t xml:space="preserve"> </w:t>
      </w:r>
      <w:r>
        <w:t xml:space="preserve">R</w:t>
      </w:r>
      <w:r>
        <w:t xml:space="preserve">1.3cm</w:t>
      </w:r>
      <w:r>
        <w:t xml:space="preserve"> </w:t>
      </w:r>
      <w:r>
        <w:rPr>
          <w:b/>
          <w:bCs/>
        </w:rPr>
        <w:t xml:space="preserve">Scheme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Cum. Return (%)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Avg Ret (%)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Max DD (%)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Sharpe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N Trades</w:t>
      </w:r>
      <w:r>
        <w:br/>
      </w:r>
      <w:r>
        <w:t xml:space="preserve">&amp; ES &amp;</w:t>
      </w:r>
      <w:r>
        <w:t xml:space="preserve"> </w:t>
      </w:r>
      <w:r>
        <w:rPr>
          <w:u w:val="single"/>
        </w:rPr>
        <w:t xml:space="preserve">187.1550</w:t>
      </w:r>
      <w:r>
        <w:t xml:space="preserve"> </w:t>
      </w:r>
      <w:r>
        <w:t xml:space="preserve">&amp; 1.1556 &amp; 27.7176 &amp; 1.7591 &amp; 102</w:t>
      </w:r>
      <w:r>
        <w:br/>
      </w:r>
      <w:r>
        <w:t xml:space="preserve">&amp; ARIMA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7.9093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0.0722&amp; 15.3129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0.4015&amp; 15</w:t>
      </w:r>
      <w:r>
        <w:br/>
      </w:r>
      <w:r>
        <w:t xml:space="preserve">&amp; SVR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15.7139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0.1191&amp; 38.9948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0.2744&amp; 86</w:t>
      </w:r>
      <w:r>
        <w:br/>
      </w:r>
      <w:r>
        <w:t xml:space="preserve">&amp; RF &amp; 81.8759 &amp; 0.6803 &amp; 14.7327 &amp; 1.1125 &amp; 94</w:t>
      </w:r>
      <w:r>
        <w:br/>
      </w:r>
      <w:r>
        <w:t xml:space="preserve">&amp; MLP &amp; 17.4717 &amp; 0.2814 &amp; 27.7560 &amp; 0.4161 &amp; 102</w:t>
      </w:r>
      <w:r>
        <w:br/>
      </w:r>
      <w:r>
        <w:t xml:space="preserve">&amp; ELM &amp; 25.6681 &amp; 0.3412 &amp; 29.7820 &amp; 0.5049 &amp; 102</w:t>
      </w:r>
      <w:r>
        <w:br/>
      </w:r>
      <w:r>
        <w:t xml:space="preserve">&amp; LSTM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38.4903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0.3572&amp; 50.8125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0.5280&amp; 102</w:t>
      </w:r>
      <w:r>
        <w:br/>
      </w:r>
      <w:r>
        <w:t xml:space="preserve">&amp; ES &amp; 15.1784 (</w:t>
      </w:r>
      <m:oMath>
        <m:r>
          <m:rPr>
            <m:sty m:val="p"/>
          </m:rPr>
          <m:t>−</m:t>
        </m:r>
      </m:oMath>
      <w:r>
        <w:rPr>
          <w:b/>
          <w:bCs/>
        </w:rPr>
        <w:t xml:space="preserve">171.98</w:t>
      </w:r>
      <w:r>
        <w:t xml:space="preserve">) &amp; 0.1505 &amp; 10.8707 &amp; 0.7010 &amp; 30</w:t>
      </w:r>
      <w:r>
        <w:br/>
      </w:r>
      <w:r>
        <w:t xml:space="preserve">&amp; ARIMA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5.6036 (</w:t>
      </w:r>
      <w:r>
        <w:rPr>
          <w:b/>
          <w:bCs/>
        </w:rPr>
        <w:t xml:space="preserve">+2.31</w:t>
      </w:r>
      <w:r>
        <w:t xml:space="preserve">)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0.0529&amp; 9.2022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0.4529&amp; 8</w:t>
      </w:r>
      <w:r>
        <w:br/>
      </w:r>
      <w:r>
        <w:t xml:space="preserve">&amp; SVR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23.2079 (</w:t>
      </w:r>
      <m:oMath>
        <m:r>
          <m:rPr>
            <m:sty m:val="p"/>
          </m:rPr>
          <m:t>−</m:t>
        </m:r>
      </m:oMath>
      <w:r>
        <w:rPr>
          <w:b/>
          <w:bCs/>
        </w:rPr>
        <w:t xml:space="preserve">7.49</w:t>
      </w:r>
      <w:r>
        <w:t xml:space="preserve">)&amp;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0.2464&amp; 24.1216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1.1470&amp; 30</w:t>
      </w:r>
      <w:r>
        <w:br/>
      </w:r>
      <w:r>
        <w:t xml:space="preserve">&amp; RF &amp; 33.2624 (</w:t>
      </w:r>
      <m:oMath>
        <m:r>
          <m:rPr>
            <m:sty m:val="p"/>
          </m:rPr>
          <m:t>−</m:t>
        </m:r>
      </m:oMath>
      <w:r>
        <w:rPr>
          <w:b/>
          <w:bCs/>
        </w:rPr>
        <w:t xml:space="preserve">48.61</w:t>
      </w:r>
      <w:r>
        <w:t xml:space="preserve">) &amp; 0.2930 &amp; 4.4820 &amp; 1.4021 &amp; 29</w:t>
      </w:r>
      <w:r>
        <w:br/>
      </w:r>
      <w:r>
        <w:t xml:space="preserve">&amp; MLP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21.7091 (</w:t>
      </w:r>
      <m:oMath>
        <m:r>
          <m:rPr>
            <m:sty m:val="p"/>
          </m:rPr>
          <m:t>−</m:t>
        </m:r>
      </m:oMath>
      <w:r>
        <w:rPr>
          <w:b/>
          <w:bCs/>
        </w:rPr>
        <w:t xml:space="preserve">39.18</w:t>
      </w:r>
      <w:r>
        <w:t xml:space="preserve">)&amp;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0.2273&amp; 23.5457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1.0566&amp; 30</w:t>
      </w:r>
      <w:r>
        <w:br/>
      </w:r>
      <w:r>
        <w:t xml:space="preserve">&amp; ELM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2.8003 (</w:t>
      </w:r>
      <m:oMath>
        <m:r>
          <m:rPr>
            <m:sty m:val="p"/>
          </m:rPr>
          <m:t>−</m:t>
        </m:r>
      </m:oMath>
      <w:r>
        <w:rPr>
          <w:b/>
          <w:bCs/>
        </w:rPr>
        <w:t xml:space="preserve">28.47</w:t>
      </w:r>
      <w:r>
        <w:t xml:space="preserve">)&amp;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0.0156&amp; 17.2831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0.0721&amp; 30</w:t>
      </w:r>
      <w:r>
        <w:br/>
      </w:r>
      <w:r>
        <w:t xml:space="preserve">&amp; LSTM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23.2731 (</w:t>
      </w:r>
      <w:r>
        <w:rPr>
          <w:b/>
          <w:bCs/>
        </w:rPr>
        <w:t xml:space="preserve">+15.22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0.2473&amp; 28.2278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1.1513&amp; 30</w:t>
      </w:r>
      <w:r>
        <w:br/>
      </w:r>
      <w:r>
        <w:t xml:space="preserve">&amp; ES &amp;</w:t>
      </w:r>
      <w:r>
        <w:t xml:space="preserve"> </w:t>
      </w:r>
      <w:r>
        <w:rPr>
          <w:u w:val="single"/>
        </w:rPr>
        <w:t xml:space="preserve">187.1550</w:t>
      </w:r>
      <w:r>
        <w:t xml:space="preserve"> </w:t>
      </w:r>
      <w:r>
        <w:t xml:space="preserve">&amp; 1.1556 &amp; 27.7176 &amp; 1.7591 &amp; 102</w:t>
      </w:r>
      <w:r>
        <w:br/>
      </w:r>
      <w:r>
        <w:t xml:space="preserve">&amp; ARIMA &amp; 0.0000 &amp; 0.0000 &amp; 0.0000 &amp; 0.0000 &amp; 0</w:t>
      </w:r>
      <w:r>
        <w:br/>
      </w:r>
      <w:r>
        <w:t xml:space="preserve">&amp; SVR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15.0569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0.1527&amp; 15.0569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0.9178&amp; 22</w:t>
      </w:r>
      <w:r>
        <w:br/>
      </w:r>
      <w:r>
        <w:t xml:space="preserve">&amp; RF &amp; 90.3221 &amp; 0.7201 &amp; 16.1343 &amp; 1.2085 &amp; 81</w:t>
      </w:r>
      <w:r>
        <w:br/>
      </w:r>
      <w:r>
        <w:t xml:space="preserve">&amp; MLP &amp; 17.4717 &amp; 0.2814 &amp; 27.7560 &amp; 0.4161 &amp; 102</w:t>
      </w:r>
      <w:r>
        <w:br/>
      </w:r>
      <w:r>
        <w:t xml:space="preserve">&amp; ELM &amp; 15.7207 &amp; 0.2569 &amp; 29.7820 &amp; 0.3857 &amp; 101</w:t>
      </w:r>
      <w:r>
        <w:br/>
      </w:r>
      <w:r>
        <w:t xml:space="preserve">&amp; LSTM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31.7569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0.2588&amp; 45.4279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0.3877&amp; 89</w:t>
      </w:r>
      <w:r>
        <w:br/>
      </w:r>
      <w:r>
        <w:t xml:space="preserve">&amp; ES &amp; 15.1784 (</w:t>
      </w:r>
      <m:oMath>
        <m:r>
          <m:rPr>
            <m:sty m:val="p"/>
          </m:rPr>
          <m:t>−</m:t>
        </m:r>
      </m:oMath>
      <w:r>
        <w:rPr>
          <w:b/>
          <w:bCs/>
        </w:rPr>
        <w:t xml:space="preserve">171.98</w:t>
      </w:r>
      <w:r>
        <w:t xml:space="preserve">) &amp; 0.1505 &amp; 10.8707 &amp; 0.7010 &amp; 30</w:t>
      </w:r>
      <w:r>
        <w:br/>
      </w:r>
      <w:r>
        <w:t xml:space="preserve">&amp; ARIMA &amp; 0.0000 &amp; 0.0000 &amp; 0.0000 &amp; 0.0000 &amp; 0</w:t>
      </w:r>
      <w:r>
        <w:br/>
      </w:r>
      <w:r>
        <w:t xml:space="preserve">&amp; SVR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13.4854 (</w:t>
      </w:r>
      <w:r>
        <w:rPr>
          <w:b/>
          <w:bCs/>
        </w:rPr>
        <w:t xml:space="preserve">+1.57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0.1392&amp; 13.4854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1.3761&amp; 11</w:t>
      </w:r>
      <w:r>
        <w:br/>
      </w:r>
      <w:r>
        <w:t xml:space="preserve">&amp; RF &amp; 24.1569 (</w:t>
      </w:r>
      <m:oMath>
        <m:r>
          <m:rPr>
            <m:sty m:val="p"/>
          </m:rPr>
          <m:t>−</m:t>
        </m:r>
      </m:oMath>
      <w:r>
        <w:rPr>
          <w:b/>
          <w:bCs/>
        </w:rPr>
        <w:t xml:space="preserve">66.17</w:t>
      </w:r>
      <w:r>
        <w:t xml:space="preserve">) &amp; 0.2226 &amp; 5.4019 &amp; 1.1073 &amp; 26</w:t>
      </w:r>
      <w:r>
        <w:br/>
      </w:r>
      <w:r>
        <w:t xml:space="preserve">&amp; MLP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21.7091 (</w:t>
      </w:r>
      <m:oMath>
        <m:r>
          <m:rPr>
            <m:sty m:val="p"/>
          </m:rPr>
          <m:t>−</m:t>
        </m:r>
      </m:oMath>
      <w:r>
        <w:rPr>
          <w:b/>
          <w:bCs/>
        </w:rPr>
        <w:t xml:space="preserve">39.18</w:t>
      </w:r>
      <w:r>
        <w:t xml:space="preserve">)&amp;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0.2273&amp; 23.5457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1.0566&amp; 30</w:t>
      </w:r>
      <w:r>
        <w:br/>
      </w:r>
      <w:r>
        <w:t xml:space="preserve">&amp; ELM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2.8003 (</w:t>
      </w:r>
      <m:oMath>
        <m:r>
          <m:rPr>
            <m:sty m:val="p"/>
          </m:rPr>
          <m:t>−</m:t>
        </m:r>
      </m:oMath>
      <w:r>
        <w:rPr>
          <w:b/>
          <w:bCs/>
        </w:rPr>
        <w:t xml:space="preserve">18.52</w:t>
      </w:r>
      <w:r>
        <w:t xml:space="preserve">)&amp;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0.0156&amp; 17.2831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0.0721&amp; 30</w:t>
      </w:r>
      <w:r>
        <w:br/>
      </w:r>
      <w:r>
        <w:t xml:space="preserve">&amp; LSTM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19.5534 (</w:t>
      </w:r>
      <w:r>
        <w:rPr>
          <w:b/>
          <w:bCs/>
        </w:rPr>
        <w:t xml:space="preserve">+12.20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0.2018&amp; 24.7242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0.9703&amp; 26</w:t>
      </w:r>
      <w:r>
        <w:br/>
      </w:r>
    </w:p>
    <w:p>
      <w:pPr>
        <w:pStyle w:val="BodyText"/>
      </w:pPr>
      <w:r>
        <w:t xml:space="preserve">Figure 13 presents bar plots of trading evaluation metrics across all models and</w:t>
      </w:r>
      <w:r>
        <w:t xml:space="preserve"> </w:t>
      </w:r>
      <w:r>
        <w:t xml:space="preserve">schemes.</w:t>
      </w:r>
    </w:p>
    <w:p>
      <w:pPr>
        <w:pStyle w:val="BodyText"/>
      </w:pPr>
      <w:r>
        <w:drawing>
          <wp:inline>
            <wp:extent cx="5334000" cy="1988228"/>
            <wp:effectExtent b="0" l="0" r="0" t="0"/>
            <wp:docPr descr="image" title="" id="74" name="Picture"/>
            <a:graphic>
              <a:graphicData uri="http://schemas.openxmlformats.org/drawingml/2006/picture">
                <pic:pic>
                  <pic:nvPicPr>
                    <pic:cNvPr descr="fig13_trading_evaluation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8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76" w:name="fig:trading"/>
      <w:bookmarkEnd w:id="76"/>
    </w:p>
    <w:p>
      <w:pPr>
        <w:pStyle w:val="BodyText"/>
      </w:pPr>
      <w:r>
        <w:t xml:space="preserve">The Proposed model under Scheme 1 achieves 187.2% cumulative return (Sharpe 1.759,</w:t>
      </w:r>
      <w:r>
        <w:t xml:space="preserve"> </w:t>
      </w:r>
      <w:r>
        <w:t xml:space="preserve">max drawdown 27.7%) across 102 trades—the highest among all decomposition models.</w:t>
      </w:r>
      <w:r>
        <w:t xml:space="preserve"> </w:t>
      </w:r>
      <w:r>
        <w:t xml:space="preserve">Under the interval-constrained Scheme 1</w:t>
      </w:r>
      <m:oMath>
        <m:r>
          <m:rPr>
            <m:sty m:val="p"/>
          </m:rPr>
          <m:t>′</m:t>
        </m:r>
      </m:oMath>
      <w:r>
        <w:t xml:space="preserve">, the trade count falls from 102 to 30</w:t>
      </w:r>
      <w:r>
        <w:t xml:space="preserve"> </w:t>
      </w:r>
      <w:r>
        <w:t xml:space="preserve">(a 70.6% reduction) and maximum drawdown drops from 27.7% to 10.9% (</w:t>
      </w:r>
      <m:oMath>
        <m:r>
          <m:rPr>
            <m:sty m:val="p"/>
          </m:rPr>
          <m:t>−</m:t>
        </m:r>
        <m:r>
          <m:t>60.7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The Conditional DA for Scheme 1</w:t>
      </w:r>
      <m:oMath>
        <m:r>
          <m:rPr>
            <m:sty m:val="p"/>
          </m:rPr>
          <m:t>′</m:t>
        </m:r>
      </m:oMath>
      <w:r>
        <w:t xml:space="preserve"> </w:t>
      </w:r>
      <w:r>
        <w:t xml:space="preserve">is 56.67% (17 correct out of 30 trades;</w:t>
      </w:r>
      <w:r>
        <w:t xml:space="preserve"> </w:t>
      </w:r>
      <w:r>
        <w:t xml:space="preserve">profit factor 1.62; Kelly criterion 21.69%), demonstrating genuine directional skill</w:t>
      </w:r>
      <w:r>
        <w:t xml:space="preserve"> </w:t>
      </w:r>
      <w:r>
        <w:t xml:space="preserve">above the 50% random benchmark. Among single-model strategies, ARIMA, SVR, and LSTM</w:t>
      </w:r>
      <w:r>
        <w:t xml:space="preserve"> </w:t>
      </w:r>
      <w:r>
        <w:t xml:space="preserve">generate losses under Scheme 1 (marked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 The interval constraint partially</w:t>
      </w:r>
      <w:r>
        <w:t xml:space="preserve"> </w:t>
      </w:r>
      <w:r>
        <w:t xml:space="preserve">reverses losses (LSTM:</w:t>
      </w:r>
      <w:r>
        <w:t xml:space="preserve"> </w:t>
      </w:r>
      <m:oMath>
        <m:r>
          <m:rPr>
            <m:sty m:val="p"/>
          </m:rPr>
          <m:t>−</m:t>
        </m:r>
        <m:r>
          <m:t>38.5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23.3</m:t>
        </m:r>
        <m:r>
          <m:rPr>
            <m:sty m:val="p"/>
          </m:rPr>
          <m:t>%</m:t>
        </m:r>
      </m:oMath>
      <w:r>
        <w:t xml:space="preserve">; SVR Scheme 2:</w:t>
      </w:r>
      <w:r>
        <w:t xml:space="preserve"> </w:t>
      </w:r>
      <m:oMath>
        <m:r>
          <m:rPr>
            <m:sty m:val="p"/>
          </m:rPr>
          <m:t>−</m:t>
        </m:r>
        <m:r>
          <m:t>15.1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13.5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consistent with Liu et al. (2025)’s finding that interval constraints can reverse</w:t>
      </w:r>
      <w:r>
        <w:t xml:space="preserve"> </w:t>
      </w:r>
      <w:r>
        <w:t xml:space="preserve">losses to gains.</w:t>
      </w:r>
    </w:p>
    <w:p>
      <w:pPr>
        <w:pStyle w:val="BodyText"/>
      </w:pPr>
      <w:r>
        <w:t xml:space="preserve">The interval constraint (Schemes 1</w:t>
      </w:r>
      <m:oMath>
        <m:r>
          <m:rPr>
            <m:sty m:val="p"/>
          </m:rPr>
          <m:t>′</m:t>
        </m:r>
      </m:oMath>
      <w:r>
        <w:t xml:space="preserve">/2</w:t>
      </w:r>
      <m:oMath>
        <m:r>
          <m:rPr>
            <m:sty m:val="p"/>
          </m:rPr>
          <m:t>′</m:t>
        </m:r>
      </m:oMath>
      <w:r>
        <w:t xml:space="preserve">) reduces the trade count from 102 to 30</w:t>
      </w:r>
      <w:r>
        <w:t xml:space="preserve"> </w:t>
      </w:r>
      <w:r>
        <w:t xml:space="preserve">weeks and cuts maximum drawdown by 60.7% (from 27.72% to 10.87%), demonstrating</w:t>
      </w:r>
      <w:r>
        <w:t xml:space="preserve"> </w:t>
      </w:r>
      <w:r>
        <w:t xml:space="preserve">that interval forecasts serve as a principled risk-management tool even during</w:t>
      </w:r>
      <w:r>
        <w:t xml:space="preserve"> </w:t>
      </w:r>
      <w:r>
        <w:t xml:space="preserve">structural regime changes. The Conditional DA of 56.67% on filtered trades</w:t>
      </w:r>
      <w:r>
        <w:t xml:space="preserve"> </w:t>
      </w:r>
      <w:r>
        <w:t xml:space="preserve">(profit factor 1.62) confirms genuine signal quality beyond random chance.</w:t>
      </w:r>
    </w:p>
    <w:bookmarkEnd w:id="77"/>
    <w:bookmarkEnd w:id="78"/>
    <w:bookmarkStart w:id="79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paper applies the multimodal VMD–ApEn–LASSO framework of Liu et al. (2025)</w:t>
      </w:r>
      <w:r>
        <w:t xml:space="preserve"> </w:t>
      </w:r>
      <w:r>
        <w:t xml:space="preserve">to MCX Silver futures (INR/kg) over 951 weekly observations (2000–2026), with a</w:t>
      </w:r>
      <w:r>
        <w:t xml:space="preserve"> </w:t>
      </w:r>
      <w:r>
        <w:t xml:space="preserve">108-week test period covering the unprecedented 2024–2026 Indian silver bull market.</w:t>
      </w:r>
    </w:p>
    <w:p>
      <w:pPr>
        <w:pStyle w:val="BodyText"/>
      </w:pPr>
      <w:r>
        <w:t xml:space="preserve">On</w:t>
      </w:r>
      <w:r>
        <w:t xml:space="preserve"> </w:t>
      </w:r>
      <w:r>
        <w:rPr>
          <w:b/>
          <w:bCs/>
        </w:rPr>
        <w:t xml:space="preserve">decomposition and complexity</w:t>
      </w:r>
      <w:r>
        <w:t xml:space="preserve">, VMD extracts nine IMFs spanning periods from</w:t>
      </w:r>
      <w:r>
        <w:t xml:space="preserve"> </w:t>
      </w:r>
      <w:r>
        <w:t xml:space="preserve">2.23 to 946 weeks. IMFs 1–2 account for 86.1% of variance. ApEn classifies IMFs 1–2</w:t>
      </w:r>
      <w:r>
        <w:t xml:space="preserve"> </w:t>
      </w:r>
      <w:r>
        <w:t xml:space="preserve">as low complexity (ARIMA) and IMFs 3–9 as high complexity (LSTM). VMD-LSTM</w:t>
      </w:r>
      <w:r>
        <w:t xml:space="preserve"> </w:t>
      </w:r>
      <w:r>
        <w:t xml:space="preserve">(</w:t>
      </w:r>
      <m:oMath>
        <m:r>
          <m:t>D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14.11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vs VMD-ARIMA) confirms that complexity-aware assignment is essential.</w:t>
      </w:r>
    </w:p>
    <w:p>
      <w:pPr>
        <w:pStyle w:val="BodyText"/>
      </w:pPr>
      <w:r>
        <w:t xml:space="preserve">On</w:t>
      </w:r>
      <w:r>
        <w:t xml:space="preserve"> </w:t>
      </w:r>
      <w:r>
        <w:rPr>
          <w:b/>
          <w:bCs/>
        </w:rPr>
        <w:t xml:space="preserve">feature selection</w:t>
      </w:r>
      <w:r>
        <w:t xml:space="preserve">, India EPU is selected in 8/9 IMFs—the most pervasive</w:t>
      </w:r>
      <w:r>
        <w:t xml:space="preserve"> </w:t>
      </w:r>
      <w:r>
        <w:t xml:space="preserve">driver. Gold co-movement and USD/INR dominate long-run IMFs; India VIX, Google Trends,</w:t>
      </w:r>
      <w:r>
        <w:t xml:space="preserve"> </w:t>
      </w:r>
      <w:r>
        <w:t xml:space="preserve">and EPU dominate short-term oscillations. IMF2 is purely autoregressive.</w:t>
      </w:r>
    </w:p>
    <w:p>
      <w:pPr>
        <w:pStyle w:val="BodyText"/>
      </w:pPr>
      <w:r>
        <w:t xml:space="preserve">On</w:t>
      </w:r>
      <w:r>
        <w:t xml:space="preserve"> </w:t>
      </w:r>
      <w:r>
        <w:rPr>
          <w:b/>
          <w:bCs/>
        </w:rPr>
        <w:t xml:space="preserve">forecasting</w:t>
      </w:r>
      <w:r>
        <w:t xml:space="preserve">, the Proposed model achieves RMSE 63,709 INR/kg (best among</w:t>
      </w:r>
      <w:r>
        <w:t xml:space="preserve"> </w:t>
      </w:r>
      <w:r>
        <w:t xml:space="preserve">decomposition models). DM tests confirm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 </w:t>
      </w:r>
      <w:r>
        <w:t xml:space="preserve">superiority over all 11 benchmarks</w:t>
      </w:r>
      <w:r>
        <w:t xml:space="preserve"> </w:t>
      </w:r>
      <w:r>
        <w:t xml:space="preserve">except ES (</w:t>
      </w:r>
      <m:oMath>
        <m:r>
          <m:rPr>
            <m:sty m:val="p"/>
          </m:rPr>
          <m:t>−</m:t>
        </m:r>
        <m:sSup>
          <m:e>
            <m:r>
              <m:t>4.81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). Significance vs VMD-ARIMA:</w:t>
      </w:r>
      <w:r>
        <w:t xml:space="preserve"> </w:t>
      </w:r>
      <m:oMath>
        <m:sSup>
          <m:e>
            <m:r>
              <m:t>5.89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On</w:t>
      </w:r>
      <w:r>
        <w:t xml:space="preserve"> </w:t>
      </w:r>
      <w:r>
        <w:rPr>
          <w:b/>
          <w:bCs/>
        </w:rPr>
        <w:t xml:space="preserve">trading</w:t>
      </w:r>
      <w:r>
        <w:t xml:space="preserve">, Scheme 1 generates 187.2% return (Sharpe 1.759, max DD 27.7%).</w:t>
      </w:r>
      <w:r>
        <w:t xml:space="preserve"> </w:t>
      </w:r>
      <w:r>
        <w:t xml:space="preserve">Scheme 1</w:t>
      </w:r>
      <m:oMath>
        <m:r>
          <m:rPr>
            <m:sty m:val="p"/>
          </m:rPr>
          <m:t>′</m:t>
        </m:r>
      </m:oMath>
      <w:r>
        <w:t xml:space="preserve"> </w:t>
      </w:r>
      <w:r>
        <w:t xml:space="preserve">cuts maximum drawdown to 10.9% with 30 filtered trades (Conditional</w:t>
      </w:r>
      <w:r>
        <w:t xml:space="preserve"> </w:t>
      </w:r>
      <w:r>
        <w:t xml:space="preserve">DA 56.67%, profit factor 1.62), providing a risk-managed alternative for conservative</w:t>
      </w:r>
      <w:r>
        <w:t xml:space="preserve"> </w:t>
      </w:r>
      <w:r>
        <w:t xml:space="preserve">institutional participants.</w:t>
      </w:r>
    </w:p>
    <w:p>
      <w:pPr>
        <w:pStyle w:val="BodyText"/>
      </w:pPr>
      <w:r>
        <w:rPr>
          <w:b/>
          <w:bCs/>
        </w:rPr>
        <w:t xml:space="preserve">Limitations and future research.</w:t>
      </w:r>
      <w:r>
        <w:t xml:space="preserve"> </w:t>
      </w:r>
      <w:r>
        <w:t xml:space="preserve">The fixed</w:t>
      </w:r>
      <w:r>
        <w:t xml:space="preserve"> </w:t>
      </w:r>
      <m:oMath>
        <m:r>
          <m:rPr>
            <m:sty m:val="p"/>
          </m:rPr>
          <m:t>±</m:t>
        </m:r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</w:t>
      </w:r>
      <w:r>
        <w:t xml:space="preserve"> </w:t>
      </w:r>
      <w:r>
        <w:t xml:space="preserve">band should be replaced by adaptive calibration (e.g., GARCH-LSTM). Daily MCX data</w:t>
      </w:r>
      <w:r>
        <w:t xml:space="preserve"> </w:t>
      </w:r>
      <w:r>
        <w:t xml:space="preserve">would improve MAPE during rapid price accelerations. Extensions to MCX Gold, Crude</w:t>
      </w:r>
      <w:r>
        <w:t xml:space="preserve"> </w:t>
      </w:r>
      <w:r>
        <w:t xml:space="preserve">Oil, and Natural Gas would validate entropy-guided assignment across Indian commodity</w:t>
      </w:r>
      <w:r>
        <w:t xml:space="preserve"> </w:t>
      </w:r>
      <w:r>
        <w:t xml:space="preserve">markets. Temporal Fusion Transformers and richer features (SEBI announcements, MCX</w:t>
      </w:r>
      <w:r>
        <w:t xml:space="preserve"> </w:t>
      </w:r>
      <w:r>
        <w:t xml:space="preserve">open interest) could further enhance performance.</w:t>
      </w:r>
    </w:p>
    <w:bookmarkEnd w:id="79"/>
    <w:bookmarkStart w:id="80" w:name="appendix."/>
    <w:p>
      <w:pPr>
        <w:pStyle w:val="Heading1"/>
      </w:pPr>
      <w:r>
        <w:t xml:space="preserve">Appendix.</w:t>
      </w:r>
    </w:p>
    <w:p>
      <w:pPr>
        <w:pStyle w:val="FirstParagraph"/>
      </w:pPr>
      <w:r>
        <w:t xml:space="preserve">Supplementary data including all per-IMF ARIMA orders, LASSO coefficient paths,</w:t>
      </w:r>
      <w:r>
        <w:t xml:space="preserve"> </w:t>
      </w:r>
      <w:r>
        <w:t xml:space="preserve">weekly trading signals, and extended DM test results are available from the authors</w:t>
      </w:r>
      <w:r>
        <w:t xml:space="preserve"> </w:t>
      </w:r>
      <w:r>
        <w:t xml:space="preserve">upon request. Full pipeline code:</w:t>
      </w:r>
      <w:r>
        <w:t xml:space="preserve"> </w:t>
      </w:r>
      <w:r>
        <w:rPr>
          <w:rStyle w:val="VerbatimChar"/>
        </w:rPr>
        <w:t xml:space="preserve">Crystal-Blaze13/Silver_RC</w:t>
      </w:r>
      <w:r>
        <w:t xml:space="preserve">.</w:t>
      </w:r>
    </w:p>
    <w:bookmarkEnd w:id="80"/>
    <w:bookmarkStart w:id="82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3"/>
        </w:numPr>
      </w:pPr>
      <w:r>
        <w:t xml:space="preserve">Liu, S., Li, M., Yang, K., Wei, Y., &amp; Wang, S. (2025).</w:t>
      </w:r>
      <w:r>
        <w:t xml:space="preserve"> </w:t>
      </w:r>
      <w:r>
        <w:t xml:space="preserve">From forecasting to trading: A multimodal-data-driven approach to reversing carbon</w:t>
      </w:r>
      <w:r>
        <w:t xml:space="preserve"> </w:t>
      </w:r>
      <w:r>
        <w:t xml:space="preserve">market losses.</w:t>
      </w:r>
      <w:r>
        <w:t xml:space="preserve"> </w:t>
      </w:r>
      <w:r>
        <w:rPr>
          <w:i/>
          <w:iCs/>
        </w:rPr>
        <w:t xml:space="preserve">Energy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144</w:t>
      </w:r>
      <w:r>
        <w:t xml:space="preserve">, 108350.</w:t>
      </w:r>
      <w:r>
        <w:t xml:space="preserve"> </w:t>
      </w:r>
      <w:hyperlink r:id="rId81">
        <w:r>
          <w:rPr>
            <w:rStyle w:val="Hyperlink"/>
          </w:rPr>
          <w:t xml:space="preserve">https://doi.org/10.1016/j.eneco.2025.108350</w:t>
        </w:r>
      </w:hyperlink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hyperlink" Id="rId81" Target="https://doi.org/10.1016/j.eneco.2025.10835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doi.org/10.1016/j.eneco.2025.10835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2026-04-02T05:44:03Z</dcterms:created>
  <dcterms:modified xsi:type="dcterms:W3CDTF">2026-04-02T05:44:03Z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