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37FD3" w14:textId="3EEC704F" w:rsidR="001A29DB" w:rsidRDefault="001A29DB" w:rsidP="001A29DB">
      <w:pPr>
        <w:jc w:val="center"/>
        <w:rPr>
          <w:rFonts w:ascii="Arial" w:hAnsi="Arial" w:cs="Arial"/>
          <w:sz w:val="36"/>
          <w:szCs w:val="36"/>
          <w:lang w:val="en-US"/>
        </w:rPr>
      </w:pPr>
      <w:r w:rsidRPr="001A29DB">
        <w:rPr>
          <w:rFonts w:ascii="Arial" w:hAnsi="Arial" w:cs="Arial"/>
          <w:sz w:val="36"/>
          <w:szCs w:val="36"/>
          <w:lang w:val="en-US"/>
        </w:rPr>
        <w:t>ORGAN-SPECIFIC PATTERNS OF TUMOR SUSCEPTIBILITY ACROSS MAMMALS</w:t>
      </w:r>
    </w:p>
    <w:p w14:paraId="2387A011" w14:textId="08395140" w:rsidR="001A29DB" w:rsidRPr="001A29DB" w:rsidRDefault="001A29DB" w:rsidP="001A29DB">
      <w:pPr>
        <w:jc w:val="center"/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Supplementary Figures</w:t>
      </w:r>
    </w:p>
    <w:p w14:paraId="64E056AE" w14:textId="77777777" w:rsidR="001A29DB" w:rsidRDefault="001A29DB">
      <w:pPr>
        <w:rPr>
          <w:rFonts w:ascii="Arial" w:hAnsi="Arial" w:cs="Arial"/>
          <w:b/>
          <w:bCs/>
          <w:sz w:val="30"/>
          <w:szCs w:val="30"/>
          <w:lang w:val="en-US"/>
        </w:rPr>
      </w:pPr>
    </w:p>
    <w:p w14:paraId="5E29A83F" w14:textId="77777777" w:rsidR="00A50208" w:rsidRDefault="00A50208">
      <w:pPr>
        <w:rPr>
          <w:rFonts w:ascii="Arial" w:hAnsi="Arial" w:cs="Arial"/>
          <w:sz w:val="30"/>
          <w:szCs w:val="30"/>
          <w:lang w:val="en-US"/>
        </w:rPr>
      </w:pPr>
    </w:p>
    <w:p w14:paraId="35BAC1C6" w14:textId="54BC7D8F" w:rsidR="0024602C" w:rsidRPr="001A29DB" w:rsidRDefault="001A29DB">
      <w:pPr>
        <w:rPr>
          <w:rFonts w:ascii="Arial" w:hAnsi="Arial" w:cs="Arial"/>
          <w:sz w:val="30"/>
          <w:szCs w:val="30"/>
          <w:lang w:val="en-US"/>
        </w:rPr>
      </w:pPr>
      <w:r w:rsidRPr="001A29DB">
        <w:rPr>
          <w:rFonts w:ascii="Arial" w:hAnsi="Arial" w:cs="Arial"/>
          <w:sz w:val="30"/>
          <w:szCs w:val="30"/>
          <w:lang w:val="en-US"/>
        </w:rPr>
        <w:t>Summary and Legends:</w:t>
      </w:r>
    </w:p>
    <w:p w14:paraId="6C036BD1" w14:textId="3253D26D" w:rsidR="001A29DB" w:rsidRDefault="001A29DB">
      <w:pPr>
        <w:rPr>
          <w:rFonts w:ascii="Arial" w:hAnsi="Arial" w:cs="Arial"/>
          <w:lang w:val="en-US"/>
        </w:rPr>
      </w:pPr>
      <w:r w:rsidRPr="00A50208">
        <w:rPr>
          <w:rFonts w:ascii="Arial" w:hAnsi="Arial" w:cs="Arial"/>
          <w:b/>
          <w:bCs/>
          <w:lang w:val="en-US"/>
        </w:rPr>
        <w:t xml:space="preserve">Figure 1 – </w:t>
      </w:r>
      <w:r w:rsidR="00A50208" w:rsidRPr="00A50208">
        <w:rPr>
          <w:rFonts w:ascii="Arial" w:hAnsi="Arial" w:cs="Arial"/>
          <w:b/>
          <w:bCs/>
          <w:lang w:val="en-US"/>
        </w:rPr>
        <w:t>General t</w:t>
      </w:r>
      <w:r w:rsidRPr="00A50208">
        <w:rPr>
          <w:rFonts w:ascii="Arial" w:hAnsi="Arial" w:cs="Arial"/>
          <w:b/>
          <w:bCs/>
          <w:lang w:val="en-US"/>
        </w:rPr>
        <w:t>umor prevalence across phylogenetic orders.</w:t>
      </w:r>
      <w:r w:rsidR="00A50208">
        <w:rPr>
          <w:rFonts w:ascii="Arial" w:hAnsi="Arial" w:cs="Arial"/>
          <w:lang w:val="en-US"/>
        </w:rPr>
        <w:t xml:space="preserve"> V</w:t>
      </w:r>
      <w:r w:rsidR="00A50208" w:rsidRPr="00A50208">
        <w:rPr>
          <w:rFonts w:ascii="Arial" w:hAnsi="Arial" w:cs="Arial"/>
          <w:lang w:val="en-US"/>
        </w:rPr>
        <w:t xml:space="preserve">iolin plots show </w:t>
      </w:r>
      <w:r w:rsidR="00A50208">
        <w:rPr>
          <w:rFonts w:ascii="Arial" w:hAnsi="Arial" w:cs="Arial"/>
          <w:lang w:val="en-US"/>
        </w:rPr>
        <w:t>general</w:t>
      </w:r>
      <w:r w:rsidR="00A50208" w:rsidRPr="00A50208">
        <w:rPr>
          <w:rFonts w:ascii="Arial" w:hAnsi="Arial" w:cs="Arial"/>
          <w:lang w:val="en-US"/>
        </w:rPr>
        <w:t xml:space="preserve"> tumor prevalence across the four phylogenetic orders in which at least 3 species were represented in our data.</w:t>
      </w:r>
      <w:r w:rsidR="00A50208">
        <w:rPr>
          <w:rFonts w:ascii="Arial" w:hAnsi="Arial" w:cs="Arial"/>
          <w:lang w:val="en-US"/>
        </w:rPr>
        <w:t xml:space="preserve"> </w:t>
      </w:r>
      <w:r w:rsidR="00A50208" w:rsidRPr="00A50208">
        <w:rPr>
          <w:rFonts w:ascii="Arial" w:hAnsi="Arial" w:cs="Arial"/>
          <w:lang w:val="en-US"/>
        </w:rPr>
        <w:t>Medians are marked with solid black lines.</w:t>
      </w:r>
    </w:p>
    <w:p w14:paraId="497055F1" w14:textId="77777777" w:rsidR="00A50208" w:rsidRPr="00A50208" w:rsidRDefault="00A50208">
      <w:pPr>
        <w:rPr>
          <w:rFonts w:ascii="Arial" w:hAnsi="Arial" w:cs="Arial"/>
          <w:lang w:val="en-US"/>
        </w:rPr>
      </w:pPr>
    </w:p>
    <w:p w14:paraId="068BF762" w14:textId="4C615CE4" w:rsidR="001A29DB" w:rsidRDefault="001A29DB">
      <w:pPr>
        <w:rPr>
          <w:rFonts w:ascii="Arial" w:hAnsi="Arial" w:cs="Arial"/>
          <w:lang w:val="en-US"/>
        </w:rPr>
      </w:pPr>
      <w:r w:rsidRPr="00A50208">
        <w:rPr>
          <w:rFonts w:ascii="Arial" w:hAnsi="Arial" w:cs="Arial"/>
          <w:b/>
          <w:bCs/>
          <w:lang w:val="en-US"/>
        </w:rPr>
        <w:t xml:space="preserve">Figure 2 </w:t>
      </w:r>
      <w:r w:rsidR="00A50208" w:rsidRPr="00A50208">
        <w:rPr>
          <w:rFonts w:ascii="Arial" w:hAnsi="Arial" w:cs="Arial"/>
          <w:b/>
          <w:bCs/>
          <w:lang w:val="en-US"/>
        </w:rPr>
        <w:t>–</w:t>
      </w:r>
      <w:r w:rsidRPr="00A50208">
        <w:rPr>
          <w:rFonts w:ascii="Arial" w:hAnsi="Arial" w:cs="Arial"/>
          <w:b/>
          <w:bCs/>
          <w:lang w:val="en-US"/>
        </w:rPr>
        <w:t xml:space="preserve"> </w:t>
      </w:r>
      <w:r w:rsidR="00A50208" w:rsidRPr="00A50208">
        <w:rPr>
          <w:rFonts w:ascii="Arial" w:hAnsi="Arial" w:cs="Arial"/>
          <w:b/>
          <w:bCs/>
          <w:lang w:val="en-US"/>
        </w:rPr>
        <w:t>General t</w:t>
      </w:r>
      <w:r w:rsidRPr="00A50208">
        <w:rPr>
          <w:rFonts w:ascii="Arial" w:hAnsi="Arial" w:cs="Arial"/>
          <w:b/>
          <w:bCs/>
          <w:lang w:val="en-US"/>
        </w:rPr>
        <w:t>umor prevalence as a function of each diet item.</w:t>
      </w:r>
      <w:r w:rsidRPr="00A50208">
        <w:rPr>
          <w:rFonts w:ascii="Arial" w:hAnsi="Arial" w:cs="Arial"/>
          <w:lang w:val="en-US"/>
        </w:rPr>
        <w:t xml:space="preserve"> Violin plots show general tumor prevalence as a function of each diet item consumption, coded as rarely/never occurring in the diet or representing the primary/secondary food item of the species. Medians are marked with solid black lines.</w:t>
      </w:r>
      <w:r w:rsidR="00A50208" w:rsidRPr="00A50208">
        <w:rPr>
          <w:rFonts w:ascii="Arial" w:hAnsi="Arial" w:cs="Arial"/>
          <w:lang w:val="en-US"/>
        </w:rPr>
        <w:t xml:space="preserve"> </w:t>
      </w:r>
    </w:p>
    <w:p w14:paraId="4121E16B" w14:textId="77777777" w:rsidR="00A50208" w:rsidRPr="00A50208" w:rsidRDefault="00A50208">
      <w:pPr>
        <w:rPr>
          <w:rFonts w:ascii="Arial" w:hAnsi="Arial" w:cs="Arial"/>
          <w:lang w:val="en-US"/>
        </w:rPr>
      </w:pPr>
    </w:p>
    <w:p w14:paraId="65E6DED5" w14:textId="72EE04C4" w:rsidR="001A29DB" w:rsidRDefault="001A29DB" w:rsidP="001A29DB">
      <w:pPr>
        <w:rPr>
          <w:rFonts w:ascii="Arial" w:hAnsi="Arial" w:cs="Arial"/>
          <w:lang w:val="en-US"/>
        </w:rPr>
      </w:pPr>
      <w:r w:rsidRPr="00A50208">
        <w:rPr>
          <w:rFonts w:ascii="Arial" w:hAnsi="Arial" w:cs="Arial"/>
          <w:b/>
          <w:bCs/>
          <w:lang w:val="en-US"/>
        </w:rPr>
        <w:t>Figure</w:t>
      </w:r>
      <w:r w:rsidR="00A50208" w:rsidRPr="00A50208">
        <w:rPr>
          <w:rFonts w:ascii="Arial" w:hAnsi="Arial" w:cs="Arial"/>
          <w:b/>
          <w:bCs/>
          <w:lang w:val="en-US"/>
        </w:rPr>
        <w:t>s</w:t>
      </w:r>
      <w:r w:rsidRPr="00A50208">
        <w:rPr>
          <w:rFonts w:ascii="Arial" w:hAnsi="Arial" w:cs="Arial"/>
          <w:b/>
          <w:bCs/>
          <w:lang w:val="en-US"/>
        </w:rPr>
        <w:t xml:space="preserve"> 3</w:t>
      </w:r>
      <w:r w:rsidR="00A50208" w:rsidRPr="00A50208">
        <w:rPr>
          <w:rFonts w:ascii="Arial" w:hAnsi="Arial" w:cs="Arial"/>
          <w:b/>
          <w:bCs/>
          <w:lang w:val="en-US"/>
        </w:rPr>
        <w:t xml:space="preserve"> to 7</w:t>
      </w:r>
      <w:r w:rsidRPr="00A50208">
        <w:rPr>
          <w:rFonts w:ascii="Arial" w:hAnsi="Arial" w:cs="Arial"/>
          <w:b/>
          <w:bCs/>
          <w:lang w:val="en-US"/>
        </w:rPr>
        <w:t xml:space="preserve"> – </w:t>
      </w:r>
      <w:r w:rsidR="00A50208" w:rsidRPr="00A50208">
        <w:rPr>
          <w:rFonts w:ascii="Arial" w:hAnsi="Arial" w:cs="Arial"/>
          <w:b/>
          <w:bCs/>
          <w:lang w:val="en-US"/>
        </w:rPr>
        <w:t>Organ-specific t</w:t>
      </w:r>
      <w:r w:rsidRPr="00A50208">
        <w:rPr>
          <w:rFonts w:ascii="Arial" w:hAnsi="Arial" w:cs="Arial"/>
          <w:b/>
          <w:bCs/>
          <w:lang w:val="en-US"/>
        </w:rPr>
        <w:t xml:space="preserve">umor prevalence across phylogenetic orders </w:t>
      </w:r>
      <w:r w:rsidR="00A50208" w:rsidRPr="00A50208">
        <w:rPr>
          <w:rFonts w:ascii="Arial" w:hAnsi="Arial" w:cs="Arial"/>
          <w:b/>
          <w:bCs/>
          <w:lang w:val="en-US"/>
        </w:rPr>
        <w:t>for each organ system.</w:t>
      </w:r>
      <w:r w:rsidR="00A50208" w:rsidRPr="00A50208">
        <w:rPr>
          <w:rFonts w:ascii="Arial" w:hAnsi="Arial" w:cs="Arial"/>
          <w:lang w:val="en-US"/>
        </w:rPr>
        <w:t xml:space="preserve"> For each of the five organ systems considered (Lymphatic system, Digestive system, Uro-genital system, Endocrine system and Respiratory system), violin plots show organ-specific tumor prevalence across the four phylogenetic orders in which at least 3 species were represented in our data.</w:t>
      </w:r>
      <w:r w:rsidR="00A50208">
        <w:rPr>
          <w:rFonts w:ascii="Arial" w:hAnsi="Arial" w:cs="Arial"/>
          <w:lang w:val="en-US"/>
        </w:rPr>
        <w:t xml:space="preserve"> </w:t>
      </w:r>
      <w:r w:rsidR="00A50208" w:rsidRPr="00A50208">
        <w:rPr>
          <w:rFonts w:ascii="Arial" w:hAnsi="Arial" w:cs="Arial"/>
          <w:lang w:val="en-US"/>
        </w:rPr>
        <w:t>Medians are marked with solid black lines.</w:t>
      </w:r>
    </w:p>
    <w:p w14:paraId="428FEA4F" w14:textId="77777777" w:rsidR="00A50208" w:rsidRPr="00A50208" w:rsidRDefault="00A50208" w:rsidP="001A29DB">
      <w:pPr>
        <w:rPr>
          <w:rFonts w:ascii="Arial" w:hAnsi="Arial" w:cs="Arial"/>
          <w:lang w:val="en-US"/>
        </w:rPr>
      </w:pPr>
    </w:p>
    <w:p w14:paraId="447B24C1" w14:textId="74FE3182" w:rsidR="001A29DB" w:rsidRPr="00A50208" w:rsidRDefault="001A29DB" w:rsidP="001A29DB">
      <w:pPr>
        <w:rPr>
          <w:rFonts w:ascii="Arial" w:hAnsi="Arial" w:cs="Arial"/>
          <w:lang w:val="en-US"/>
        </w:rPr>
      </w:pPr>
      <w:r w:rsidRPr="00A50208">
        <w:rPr>
          <w:rFonts w:ascii="Arial" w:hAnsi="Arial" w:cs="Arial"/>
          <w:b/>
          <w:bCs/>
          <w:lang w:val="en-US"/>
        </w:rPr>
        <w:t>Figure</w:t>
      </w:r>
      <w:r w:rsidR="00A50208" w:rsidRPr="00A50208">
        <w:rPr>
          <w:rFonts w:ascii="Arial" w:hAnsi="Arial" w:cs="Arial"/>
          <w:b/>
          <w:bCs/>
          <w:lang w:val="en-US"/>
        </w:rPr>
        <w:t>s</w:t>
      </w:r>
      <w:r w:rsidRPr="00A50208">
        <w:rPr>
          <w:rFonts w:ascii="Arial" w:hAnsi="Arial" w:cs="Arial"/>
          <w:b/>
          <w:bCs/>
          <w:lang w:val="en-US"/>
        </w:rPr>
        <w:t xml:space="preserve"> 8</w:t>
      </w:r>
      <w:r w:rsidR="00A50208" w:rsidRPr="00A50208">
        <w:rPr>
          <w:rFonts w:ascii="Arial" w:hAnsi="Arial" w:cs="Arial"/>
          <w:b/>
          <w:bCs/>
          <w:lang w:val="en-US"/>
        </w:rPr>
        <w:t xml:space="preserve"> to 12</w:t>
      </w:r>
      <w:r w:rsidRPr="00A50208">
        <w:rPr>
          <w:rFonts w:ascii="Arial" w:hAnsi="Arial" w:cs="Arial"/>
          <w:b/>
          <w:bCs/>
          <w:lang w:val="en-US"/>
        </w:rPr>
        <w:t xml:space="preserve"> </w:t>
      </w:r>
      <w:r w:rsidR="00A50208" w:rsidRPr="00A50208">
        <w:rPr>
          <w:rFonts w:ascii="Arial" w:hAnsi="Arial" w:cs="Arial"/>
          <w:b/>
          <w:bCs/>
          <w:lang w:val="en-US"/>
        </w:rPr>
        <w:t>–</w:t>
      </w:r>
      <w:r w:rsidRPr="00A50208">
        <w:rPr>
          <w:rFonts w:ascii="Arial" w:hAnsi="Arial" w:cs="Arial"/>
          <w:b/>
          <w:bCs/>
          <w:lang w:val="en-US"/>
        </w:rPr>
        <w:t xml:space="preserve"> </w:t>
      </w:r>
      <w:r w:rsidR="00A50208" w:rsidRPr="00A50208">
        <w:rPr>
          <w:rFonts w:ascii="Arial" w:hAnsi="Arial" w:cs="Arial"/>
          <w:b/>
          <w:bCs/>
          <w:lang w:val="en-US"/>
        </w:rPr>
        <w:t>Organ-specific t</w:t>
      </w:r>
      <w:r w:rsidRPr="00A50208">
        <w:rPr>
          <w:rFonts w:ascii="Arial" w:hAnsi="Arial" w:cs="Arial"/>
          <w:b/>
          <w:bCs/>
          <w:lang w:val="en-US"/>
        </w:rPr>
        <w:t xml:space="preserve">umor prevalence as a function of each diet item </w:t>
      </w:r>
      <w:r w:rsidR="00A50208" w:rsidRPr="00A50208">
        <w:rPr>
          <w:rFonts w:ascii="Arial" w:hAnsi="Arial" w:cs="Arial"/>
          <w:b/>
          <w:bCs/>
          <w:lang w:val="en-US"/>
        </w:rPr>
        <w:t>for each organ system.</w:t>
      </w:r>
      <w:r w:rsidR="00A50208" w:rsidRPr="00A50208">
        <w:rPr>
          <w:rFonts w:ascii="Arial" w:hAnsi="Arial" w:cs="Arial"/>
          <w:lang w:val="en-US"/>
        </w:rPr>
        <w:t xml:space="preserve"> For each of the five organ systems considered (Lymphatic system, Digestive system, Uro-genital system, Endocrine system and Respiratory system), violin plots show organ-specific tumor prevalence as a function of each diet item consumption, coded as rarely/never occurring in the diet or representing the primary/secondary food item of the species. Medians are marked with solid black lines.</w:t>
      </w:r>
    </w:p>
    <w:p w14:paraId="3AA1A294" w14:textId="77777777" w:rsidR="001A29DB" w:rsidRPr="001A29DB" w:rsidRDefault="001A29DB">
      <w:pPr>
        <w:rPr>
          <w:lang w:val="en-US"/>
        </w:rPr>
      </w:pPr>
    </w:p>
    <w:sectPr w:rsidR="001A29DB" w:rsidRPr="001A29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8F"/>
    <w:rsid w:val="001A29DB"/>
    <w:rsid w:val="0024602C"/>
    <w:rsid w:val="003327BF"/>
    <w:rsid w:val="003B2F9F"/>
    <w:rsid w:val="005B6A2E"/>
    <w:rsid w:val="00A50208"/>
    <w:rsid w:val="00A7578F"/>
    <w:rsid w:val="00AF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697A5"/>
  <w15:chartTrackingRefBased/>
  <w15:docId w15:val="{DCEE6C9F-E3F2-400D-97C6-85F00806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5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5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5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5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5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5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5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5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5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5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5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5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578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578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57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57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57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57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5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5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5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5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5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57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57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578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5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578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5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La Rochelle Université</Company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Morin</dc:creator>
  <cp:keywords/>
  <dc:description/>
  <cp:lastModifiedBy>Crystal Morin</cp:lastModifiedBy>
  <cp:revision>2</cp:revision>
  <dcterms:created xsi:type="dcterms:W3CDTF">2026-07-08T12:03:00Z</dcterms:created>
  <dcterms:modified xsi:type="dcterms:W3CDTF">2026-07-08T12:03:00Z</dcterms:modified>
</cp:coreProperties>
</file>