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C6489" w14:textId="7494E24E" w:rsidR="00D82C16" w:rsidRDefault="00D82C16"/>
    <w:p w14:paraId="60E78E37" w14:textId="2E47CC9E" w:rsidR="00E16125" w:rsidRDefault="00E16125" w:rsidP="00E16125">
      <w:pPr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</w:pPr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The </w:t>
      </w:r>
      <w:r w:rsidRPr="00E16125">
        <w:rPr>
          <w:rFonts w:ascii="Arial" w:eastAsia="Times New Roman" w:hAnsi="Arial" w:cs="Times New Roman"/>
          <w:b/>
          <w:bCs/>
          <w:color w:val="202122"/>
          <w:sz w:val="21"/>
          <w:szCs w:val="21"/>
          <w:shd w:val="clear" w:color="auto" w:fill="FFFFFF"/>
        </w:rPr>
        <w:t>Bank of America Corporation</w:t>
      </w:r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 (commonly referred to as </w:t>
      </w:r>
      <w:r w:rsidRPr="00E16125">
        <w:rPr>
          <w:rFonts w:ascii="Arial" w:eastAsia="Times New Roman" w:hAnsi="Arial" w:cs="Times New Roman"/>
          <w:b/>
          <w:bCs/>
          <w:color w:val="202122"/>
          <w:sz w:val="21"/>
          <w:szCs w:val="21"/>
          <w:shd w:val="clear" w:color="auto" w:fill="FFFFFF"/>
        </w:rPr>
        <w:t>Bank of America</w:t>
      </w:r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; often abbreviated as </w:t>
      </w:r>
      <w:proofErr w:type="spellStart"/>
      <w:r w:rsidRPr="00E16125">
        <w:rPr>
          <w:rFonts w:ascii="Arial" w:eastAsia="Times New Roman" w:hAnsi="Arial" w:cs="Times New Roman"/>
          <w:b/>
          <w:bCs/>
          <w:color w:val="202122"/>
          <w:sz w:val="21"/>
          <w:szCs w:val="21"/>
          <w:shd w:val="clear" w:color="auto" w:fill="FFFFFF"/>
        </w:rPr>
        <w:t>BofA</w:t>
      </w:r>
      <w:proofErr w:type="spellEnd"/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 or </w:t>
      </w:r>
      <w:proofErr w:type="spellStart"/>
      <w:r w:rsidRPr="00E16125">
        <w:rPr>
          <w:rFonts w:ascii="Arial" w:eastAsia="Times New Roman" w:hAnsi="Arial" w:cs="Times New Roman"/>
          <w:b/>
          <w:bCs/>
          <w:color w:val="202122"/>
          <w:sz w:val="21"/>
          <w:szCs w:val="21"/>
          <w:shd w:val="clear" w:color="auto" w:fill="FFFFFF"/>
        </w:rPr>
        <w:t>BoA</w:t>
      </w:r>
      <w:proofErr w:type="spellEnd"/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) is an American multinational </w:t>
      </w:r>
      <w:hyperlink r:id="rId4" w:tooltip="Investment banking" w:history="1">
        <w:r w:rsidRPr="00E16125">
          <w:rPr>
            <w:rFonts w:ascii="Arial" w:eastAsia="Times New Roman" w:hAnsi="Arial" w:cs="Times New Roman"/>
            <w:color w:val="0645AD"/>
            <w:sz w:val="21"/>
            <w:szCs w:val="21"/>
            <w:u w:val="single"/>
            <w:shd w:val="clear" w:color="auto" w:fill="FFFFFF"/>
          </w:rPr>
          <w:t>investment bank</w:t>
        </w:r>
      </w:hyperlink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 and </w:t>
      </w:r>
      <w:hyperlink r:id="rId5" w:tooltip="Financial services" w:history="1">
        <w:r w:rsidRPr="00E16125">
          <w:rPr>
            <w:rFonts w:ascii="Arial" w:eastAsia="Times New Roman" w:hAnsi="Arial" w:cs="Times New Roman"/>
            <w:color w:val="0645AD"/>
            <w:sz w:val="21"/>
            <w:szCs w:val="21"/>
            <w:u w:val="single"/>
            <w:shd w:val="clear" w:color="auto" w:fill="FFFFFF"/>
          </w:rPr>
          <w:t>financial services</w:t>
        </w:r>
      </w:hyperlink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 </w:t>
      </w:r>
      <w:hyperlink r:id="rId6" w:tooltip="Holding company" w:history="1">
        <w:r w:rsidRPr="00E16125">
          <w:rPr>
            <w:rFonts w:ascii="Arial" w:eastAsia="Times New Roman" w:hAnsi="Arial" w:cs="Times New Roman"/>
            <w:color w:val="0645AD"/>
            <w:sz w:val="21"/>
            <w:szCs w:val="21"/>
            <w:u w:val="single"/>
            <w:shd w:val="clear" w:color="auto" w:fill="FFFFFF"/>
          </w:rPr>
          <w:t>holding company</w:t>
        </w:r>
      </w:hyperlink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 headquartered in </w:t>
      </w:r>
      <w:hyperlink r:id="rId7" w:tooltip="Charlotte, North Carolina" w:history="1">
        <w:r w:rsidRPr="00E16125">
          <w:rPr>
            <w:rFonts w:ascii="Arial" w:eastAsia="Times New Roman" w:hAnsi="Arial" w:cs="Times New Roman"/>
            <w:color w:val="0645AD"/>
            <w:sz w:val="21"/>
            <w:szCs w:val="21"/>
            <w:u w:val="single"/>
            <w:shd w:val="clear" w:color="auto" w:fill="FFFFFF"/>
          </w:rPr>
          <w:t>Charlotte, North Carolina</w:t>
        </w:r>
      </w:hyperlink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. The bank was founded in </w:t>
      </w:r>
      <w:hyperlink r:id="rId8" w:tooltip="San Francisco" w:history="1">
        <w:r w:rsidRPr="00E16125">
          <w:rPr>
            <w:rFonts w:ascii="Arial" w:eastAsia="Times New Roman" w:hAnsi="Arial" w:cs="Times New Roman"/>
            <w:color w:val="0645AD"/>
            <w:sz w:val="21"/>
            <w:szCs w:val="21"/>
            <w:u w:val="single"/>
            <w:shd w:val="clear" w:color="auto" w:fill="FFFFFF"/>
          </w:rPr>
          <w:t>San Francisco</w:t>
        </w:r>
      </w:hyperlink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 and took its present form when NationsBank of Charlotte acquired it in 1998. It is the </w:t>
      </w:r>
      <w:hyperlink r:id="rId9" w:tooltip="List of largest banks in the United States" w:history="1">
        <w:r w:rsidRPr="00E16125">
          <w:rPr>
            <w:rFonts w:ascii="Arial" w:eastAsia="Times New Roman" w:hAnsi="Arial" w:cs="Times New Roman"/>
            <w:color w:val="0645AD"/>
            <w:sz w:val="21"/>
            <w:szCs w:val="21"/>
            <w:u w:val="single"/>
            <w:shd w:val="clear" w:color="auto" w:fill="FFFFFF"/>
          </w:rPr>
          <w:t>second-largest banking institution</w:t>
        </w:r>
      </w:hyperlink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 in the </w:t>
      </w:r>
      <w:hyperlink r:id="rId10" w:tooltip="United States" w:history="1">
        <w:r w:rsidRPr="00E16125">
          <w:rPr>
            <w:rFonts w:ascii="Arial" w:eastAsia="Times New Roman" w:hAnsi="Arial" w:cs="Times New Roman"/>
            <w:color w:val="0645AD"/>
            <w:sz w:val="21"/>
            <w:szCs w:val="21"/>
            <w:u w:val="single"/>
            <w:shd w:val="clear" w:color="auto" w:fill="FFFFFF"/>
          </w:rPr>
          <w:t>United States</w:t>
        </w:r>
      </w:hyperlink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, after </w:t>
      </w:r>
      <w:hyperlink r:id="rId11" w:tooltip="JPMorgan Chase" w:history="1">
        <w:r w:rsidRPr="00E16125">
          <w:rPr>
            <w:rFonts w:ascii="Arial" w:eastAsia="Times New Roman" w:hAnsi="Arial" w:cs="Times New Roman"/>
            <w:color w:val="0645AD"/>
            <w:sz w:val="21"/>
            <w:szCs w:val="21"/>
            <w:u w:val="single"/>
            <w:shd w:val="clear" w:color="auto" w:fill="FFFFFF"/>
          </w:rPr>
          <w:t>JPMorgan Chase</w:t>
        </w:r>
      </w:hyperlink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, and the </w:t>
      </w:r>
      <w:hyperlink r:id="rId12" w:tooltip="List of largest banks" w:history="1">
        <w:r w:rsidRPr="00E16125">
          <w:rPr>
            <w:rFonts w:ascii="Arial" w:eastAsia="Times New Roman" w:hAnsi="Arial" w:cs="Times New Roman"/>
            <w:color w:val="0645AD"/>
            <w:sz w:val="21"/>
            <w:szCs w:val="21"/>
            <w:u w:val="single"/>
            <w:shd w:val="clear" w:color="auto" w:fill="FFFFFF"/>
          </w:rPr>
          <w:t>eighth-largest bank in the world</w:t>
        </w:r>
      </w:hyperlink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. Bank of America is one of the </w:t>
      </w:r>
      <w:hyperlink r:id="rId13" w:anchor="United_States" w:tooltip="Big Four (banking)" w:history="1">
        <w:r w:rsidRPr="00E16125">
          <w:rPr>
            <w:rFonts w:ascii="Arial" w:eastAsia="Times New Roman" w:hAnsi="Arial" w:cs="Times New Roman"/>
            <w:color w:val="0645AD"/>
            <w:sz w:val="21"/>
            <w:szCs w:val="21"/>
            <w:u w:val="single"/>
            <w:shd w:val="clear" w:color="auto" w:fill="FFFFFF"/>
          </w:rPr>
          <w:t>Big Four</w:t>
        </w:r>
      </w:hyperlink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 banking institutions of the United States.</w:t>
      </w:r>
      <w:hyperlink r:id="rId14" w:anchor="cite_note-4" w:history="1">
        <w:r w:rsidRPr="00E16125">
          <w:rPr>
            <w:rFonts w:ascii="Arial" w:eastAsia="Times New Roman" w:hAnsi="Arial" w:cs="Times New Roman"/>
            <w:color w:val="0645AD"/>
            <w:sz w:val="17"/>
            <w:szCs w:val="17"/>
            <w:u w:val="single"/>
            <w:shd w:val="clear" w:color="auto" w:fill="FFFFFF"/>
            <w:vertAlign w:val="superscript"/>
          </w:rPr>
          <w:t>[4]</w:t>
        </w:r>
      </w:hyperlink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 It serves approximately 10.73% of all American bank deposits, in direct competition with JPMorgan Chase, </w:t>
      </w:r>
      <w:hyperlink r:id="rId15" w:tooltip="Citigroup" w:history="1">
        <w:r w:rsidRPr="00E16125">
          <w:rPr>
            <w:rFonts w:ascii="Arial" w:eastAsia="Times New Roman" w:hAnsi="Arial" w:cs="Times New Roman"/>
            <w:color w:val="0645AD"/>
            <w:sz w:val="21"/>
            <w:szCs w:val="21"/>
            <w:u w:val="single"/>
            <w:shd w:val="clear" w:color="auto" w:fill="FFFFFF"/>
          </w:rPr>
          <w:t>Citigroup</w:t>
        </w:r>
      </w:hyperlink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, and </w:t>
      </w:r>
      <w:hyperlink r:id="rId16" w:tooltip="Wells Fargo" w:history="1">
        <w:r w:rsidRPr="00E16125">
          <w:rPr>
            <w:rFonts w:ascii="Arial" w:eastAsia="Times New Roman" w:hAnsi="Arial" w:cs="Times New Roman"/>
            <w:color w:val="0645AD"/>
            <w:sz w:val="21"/>
            <w:szCs w:val="21"/>
            <w:u w:val="single"/>
            <w:shd w:val="clear" w:color="auto" w:fill="FFFFFF"/>
          </w:rPr>
          <w:t>Wells Fargo</w:t>
        </w:r>
      </w:hyperlink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. Its primary financial services revolve around </w:t>
      </w:r>
      <w:hyperlink r:id="rId17" w:tooltip="Commercial bank" w:history="1">
        <w:r w:rsidRPr="00E16125">
          <w:rPr>
            <w:rFonts w:ascii="Arial" w:eastAsia="Times New Roman" w:hAnsi="Arial" w:cs="Times New Roman"/>
            <w:color w:val="0645AD"/>
            <w:sz w:val="21"/>
            <w:szCs w:val="21"/>
            <w:u w:val="single"/>
            <w:shd w:val="clear" w:color="auto" w:fill="FFFFFF"/>
          </w:rPr>
          <w:t>commercial banking</w:t>
        </w:r>
      </w:hyperlink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, </w:t>
      </w:r>
      <w:hyperlink r:id="rId18" w:tooltip="Wealth management" w:history="1">
        <w:r w:rsidRPr="00E16125">
          <w:rPr>
            <w:rFonts w:ascii="Arial" w:eastAsia="Times New Roman" w:hAnsi="Arial" w:cs="Times New Roman"/>
            <w:color w:val="0645AD"/>
            <w:sz w:val="21"/>
            <w:szCs w:val="21"/>
            <w:u w:val="single"/>
            <w:shd w:val="clear" w:color="auto" w:fill="FFFFFF"/>
          </w:rPr>
          <w:t>wealth management</w:t>
        </w:r>
      </w:hyperlink>
      <w:r w:rsidRPr="00E16125"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  <w:t>, and investment banking.</w:t>
      </w:r>
    </w:p>
    <w:p w14:paraId="13818DD0" w14:textId="6C2A11D1" w:rsidR="00E16125" w:rsidRDefault="00E16125" w:rsidP="00E16125">
      <w:pPr>
        <w:rPr>
          <w:rFonts w:ascii="Arial" w:eastAsia="Times New Roman" w:hAnsi="Arial" w:cs="Times New Roman"/>
          <w:color w:val="202122"/>
          <w:sz w:val="21"/>
          <w:szCs w:val="21"/>
          <w:shd w:val="clear" w:color="auto" w:fill="FFFFFF"/>
        </w:rPr>
      </w:pPr>
    </w:p>
    <w:p w14:paraId="71AC6305" w14:textId="77777777" w:rsidR="00E16125" w:rsidRDefault="00E16125" w:rsidP="00E16125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One branch of its history stretches back to the U.S.-based </w:t>
      </w:r>
      <w:hyperlink r:id="rId19" w:tooltip="Bank of Italy (United States)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Bank of Italy</w:t>
        </w:r>
      </w:hyperlink>
      <w:r>
        <w:rPr>
          <w:rFonts w:ascii="Arial" w:hAnsi="Arial" w:cs="Arial"/>
          <w:color w:val="202122"/>
          <w:sz w:val="21"/>
          <w:szCs w:val="21"/>
        </w:rPr>
        <w:t>, founded by </w:t>
      </w:r>
      <w:hyperlink r:id="rId20" w:tooltip="Amadeo Giannini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Amadeo Pietro Giannini</w:t>
        </w:r>
      </w:hyperlink>
      <w:r>
        <w:rPr>
          <w:rFonts w:ascii="Arial" w:hAnsi="Arial" w:cs="Arial"/>
          <w:color w:val="202122"/>
          <w:sz w:val="21"/>
          <w:szCs w:val="21"/>
        </w:rPr>
        <w:t> in 1904, which provided various banking options to </w:t>
      </w:r>
      <w:hyperlink r:id="rId21" w:tooltip="Italian diaspora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Italian immigrants</w:t>
        </w:r>
      </w:hyperlink>
      <w:r>
        <w:rPr>
          <w:rFonts w:ascii="Arial" w:hAnsi="Arial" w:cs="Arial"/>
          <w:color w:val="202122"/>
          <w:sz w:val="21"/>
          <w:szCs w:val="21"/>
        </w:rPr>
        <w:t> who </w:t>
      </w:r>
      <w:hyperlink r:id="rId22" w:tooltip="Anti-Italianism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faced service discrimination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  <w:hyperlink r:id="rId23" w:anchor="cite_note-PBSGiannini-5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[5]</w:t>
        </w:r>
      </w:hyperlink>
      <w:r>
        <w:rPr>
          <w:rFonts w:ascii="Arial" w:hAnsi="Arial" w:cs="Arial"/>
          <w:color w:val="202122"/>
          <w:sz w:val="21"/>
          <w:szCs w:val="21"/>
        </w:rPr>
        <w:t> Originally headquartered in </w:t>
      </w:r>
      <w:hyperlink r:id="rId24" w:tooltip="San Francisco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San Francisco, California</w:t>
        </w:r>
      </w:hyperlink>
      <w:r>
        <w:rPr>
          <w:rFonts w:ascii="Arial" w:hAnsi="Arial" w:cs="Arial"/>
          <w:color w:val="202122"/>
          <w:sz w:val="21"/>
          <w:szCs w:val="21"/>
        </w:rPr>
        <w:t>, Giannini acquired </w:t>
      </w:r>
      <w:hyperlink r:id="rId25" w:tooltip="Deutsche Bank (Italy)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 xml:space="preserve">Banca </w:t>
        </w:r>
        <w:proofErr w:type="spellStart"/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d'America</w:t>
        </w:r>
        <w:proofErr w:type="spellEnd"/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 xml:space="preserve"> e </w:t>
        </w:r>
        <w:proofErr w:type="spellStart"/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d'Italia</w:t>
        </w:r>
        <w:proofErr w:type="spellEnd"/>
      </w:hyperlink>
      <w:r>
        <w:rPr>
          <w:rFonts w:ascii="Arial" w:hAnsi="Arial" w:cs="Arial"/>
          <w:color w:val="202122"/>
          <w:sz w:val="21"/>
          <w:szCs w:val="21"/>
        </w:rPr>
        <w:t> (Bank of America and </w:t>
      </w:r>
      <w:hyperlink r:id="rId26" w:tooltip="Italy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Italy</w:t>
        </w:r>
      </w:hyperlink>
      <w:r>
        <w:rPr>
          <w:rFonts w:ascii="Arial" w:hAnsi="Arial" w:cs="Arial"/>
          <w:color w:val="202122"/>
          <w:sz w:val="21"/>
          <w:szCs w:val="21"/>
        </w:rPr>
        <w:t>) in 1922. The passage of landmark federal banking legislation facilitated a rapid growth in the 1950s, quickly establishing a prominent market share. After suffering a significant loss after the </w:t>
      </w:r>
      <w:hyperlink r:id="rId27" w:tooltip="1998 Russian financial crisis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1998 Russian bond default</w:t>
        </w:r>
      </w:hyperlink>
      <w:r>
        <w:rPr>
          <w:rFonts w:ascii="Arial" w:hAnsi="Arial" w:cs="Arial"/>
          <w:color w:val="202122"/>
          <w:sz w:val="21"/>
          <w:szCs w:val="21"/>
        </w:rPr>
        <w:t>, BankAmerica, as it was then known, was acquired by the Charlotte-based </w:t>
      </w:r>
      <w:hyperlink r:id="rId28" w:tooltip="NationsBank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NationsBank</w:t>
        </w:r>
      </w:hyperlink>
      <w:r>
        <w:rPr>
          <w:rFonts w:ascii="Arial" w:hAnsi="Arial" w:cs="Arial"/>
          <w:color w:val="202122"/>
          <w:sz w:val="21"/>
          <w:szCs w:val="21"/>
        </w:rPr>
        <w:t> for </w:t>
      </w:r>
      <w:hyperlink r:id="rId29" w:tooltip="United States dollar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US$</w:t>
        </w:r>
      </w:hyperlink>
      <w:r>
        <w:rPr>
          <w:rFonts w:ascii="Arial" w:hAnsi="Arial" w:cs="Arial"/>
          <w:color w:val="202122"/>
          <w:sz w:val="21"/>
          <w:szCs w:val="21"/>
        </w:rPr>
        <w:t>62 billion. Following what was then the </w:t>
      </w:r>
      <w:hyperlink r:id="rId30" w:tooltip="List of largest mergers and acquisitions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largest bank acquisition in history</w:t>
        </w:r>
      </w:hyperlink>
      <w:r>
        <w:rPr>
          <w:rFonts w:ascii="Arial" w:hAnsi="Arial" w:cs="Arial"/>
          <w:color w:val="202122"/>
          <w:sz w:val="21"/>
          <w:szCs w:val="21"/>
        </w:rPr>
        <w:t>, the Bank of America Corporation was founded. Through a series of mergers and acquisitions, it built upon its commercial banking business by establishing </w:t>
      </w:r>
      <w:hyperlink r:id="rId31" w:tooltip="Merrill Lynch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Merrill Lynch</w:t>
        </w:r>
      </w:hyperlink>
      <w:r>
        <w:rPr>
          <w:rFonts w:ascii="Arial" w:hAnsi="Arial" w:cs="Arial"/>
          <w:color w:val="202122"/>
          <w:sz w:val="21"/>
          <w:szCs w:val="21"/>
        </w:rPr>
        <w:t> for wealth management and </w:t>
      </w:r>
      <w:hyperlink r:id="rId32" w:tooltip="Bank of America Merrill Lynch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Bank of America Merrill Lynch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 for investment banking in 2008 and 2009, respectively (since renamed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BofA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Securities).</w:t>
      </w:r>
      <w:hyperlink r:id="rId33" w:anchor="cite_note-ATLoffer-6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[6]</w:t>
        </w:r>
      </w:hyperlink>
    </w:p>
    <w:p w14:paraId="7D5FAF39" w14:textId="77777777" w:rsidR="00E16125" w:rsidRDefault="00E16125" w:rsidP="00E16125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Both Bank of America and Merrill Lynch Wealth Management retain large market shares in their respective offerings. The </w:t>
      </w:r>
      <w:hyperlink r:id="rId34" w:tooltip="Investment banking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investment bank</w:t>
        </w:r>
      </w:hyperlink>
      <w:r>
        <w:rPr>
          <w:rFonts w:ascii="Arial" w:hAnsi="Arial" w:cs="Arial"/>
          <w:color w:val="202122"/>
          <w:sz w:val="21"/>
          <w:szCs w:val="21"/>
        </w:rPr>
        <w:t> is considered within the "</w:t>
      </w:r>
      <w:hyperlink r:id="rId35" w:tooltip="Bulge Bracket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Bulge Bracket</w:t>
        </w:r>
      </w:hyperlink>
      <w:r>
        <w:rPr>
          <w:rFonts w:ascii="Arial" w:hAnsi="Arial" w:cs="Arial"/>
          <w:color w:val="202122"/>
          <w:sz w:val="21"/>
          <w:szCs w:val="21"/>
        </w:rPr>
        <w:t>" as the </w:t>
      </w:r>
      <w:hyperlink r:id="rId36" w:tooltip="List of investment banks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third largest investment bank in the world</w:t>
        </w:r>
      </w:hyperlink>
      <w:r>
        <w:rPr>
          <w:rFonts w:ascii="Arial" w:hAnsi="Arial" w:cs="Arial"/>
          <w:color w:val="202122"/>
          <w:sz w:val="21"/>
          <w:szCs w:val="21"/>
        </w:rPr>
        <w:t>, as of 2018.</w:t>
      </w:r>
      <w:hyperlink r:id="rId37" w:anchor="cite_note-7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[7]</w:t>
        </w:r>
      </w:hyperlink>
      <w:r>
        <w:rPr>
          <w:rFonts w:ascii="Arial" w:hAnsi="Arial" w:cs="Arial"/>
          <w:color w:val="202122"/>
          <w:sz w:val="21"/>
          <w:szCs w:val="21"/>
        </w:rPr>
        <w:t> Its wealth management side manages </w:t>
      </w:r>
      <w:hyperlink r:id="rId38" w:tooltip="United States dollar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US$</w:t>
        </w:r>
      </w:hyperlink>
      <w:r>
        <w:rPr>
          <w:rFonts w:ascii="Arial" w:hAnsi="Arial" w:cs="Arial"/>
          <w:color w:val="202122"/>
          <w:sz w:val="21"/>
          <w:szCs w:val="21"/>
        </w:rPr>
        <w:t>1.081 trillion in </w:t>
      </w:r>
      <w:hyperlink r:id="rId39" w:tooltip="Assets under management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assets under management</w:t>
        </w:r>
      </w:hyperlink>
      <w:r>
        <w:rPr>
          <w:rFonts w:ascii="Arial" w:hAnsi="Arial" w:cs="Arial"/>
          <w:color w:val="202122"/>
          <w:sz w:val="21"/>
          <w:szCs w:val="21"/>
        </w:rPr>
        <w:t> (AUM) as the </w:t>
      </w:r>
      <w:hyperlink r:id="rId40" w:anchor="Private_banking_rankings" w:tooltip="Private banking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second largest wealth manager in the world</w:t>
        </w:r>
      </w:hyperlink>
      <w:r>
        <w:rPr>
          <w:rFonts w:ascii="Arial" w:hAnsi="Arial" w:cs="Arial"/>
          <w:color w:val="202122"/>
          <w:sz w:val="21"/>
          <w:szCs w:val="21"/>
        </w:rPr>
        <w:t>, after </w:t>
      </w:r>
      <w:hyperlink r:id="rId41" w:tooltip="UBS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UBS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  <w:hyperlink r:id="rId42" w:anchor="cite_note-8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[8]</w:t>
        </w:r>
      </w:hyperlink>
      <w:r>
        <w:rPr>
          <w:rFonts w:ascii="Arial" w:hAnsi="Arial" w:cs="Arial"/>
          <w:color w:val="202122"/>
          <w:sz w:val="21"/>
          <w:szCs w:val="21"/>
        </w:rPr>
        <w:t> In commercial banking, Bank of America operates—but does not necessarily maintain retail branches—in all 50 states of the United States, the </w:t>
      </w:r>
      <w:hyperlink r:id="rId43" w:tooltip="District of Columbia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District of Columbia</w:t>
        </w:r>
      </w:hyperlink>
      <w:r>
        <w:rPr>
          <w:rFonts w:ascii="Arial" w:hAnsi="Arial" w:cs="Arial"/>
          <w:color w:val="202122"/>
          <w:sz w:val="21"/>
          <w:szCs w:val="21"/>
        </w:rPr>
        <w:t> and more than 40 other countries.</w:t>
      </w:r>
      <w:hyperlink r:id="rId44" w:anchor="cite_note-9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[9]</w:t>
        </w:r>
      </w:hyperlink>
      <w:r>
        <w:rPr>
          <w:rFonts w:ascii="Arial" w:hAnsi="Arial" w:cs="Arial"/>
          <w:color w:val="202122"/>
          <w:sz w:val="21"/>
          <w:szCs w:val="21"/>
        </w:rPr>
        <w:t> Its commercial banking footprint encapsulates 46 million consumer and small business relationships at 4,600 banking centers and 15,900 </w:t>
      </w:r>
      <w:hyperlink r:id="rId45" w:tooltip="Automated teller machine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automated teller machines</w:t>
        </w:r>
      </w:hyperlink>
      <w:r>
        <w:rPr>
          <w:rFonts w:ascii="Arial" w:hAnsi="Arial" w:cs="Arial"/>
          <w:color w:val="202122"/>
          <w:sz w:val="21"/>
          <w:szCs w:val="21"/>
        </w:rPr>
        <w:t> (ATMs).</w:t>
      </w:r>
    </w:p>
    <w:p w14:paraId="5AD21A03" w14:textId="77777777" w:rsidR="00E16125" w:rsidRDefault="00E16125" w:rsidP="00E16125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The bank's large market share, business activities, and economic impact has led to numerous lawsuits and investigations regarding both mortgages and financial disclosures dating back to the </w:t>
      </w:r>
      <w:hyperlink r:id="rId46" w:tooltip="Financial crisis of 2007–2008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2008 financial crisis</w:t>
        </w:r>
      </w:hyperlink>
      <w:r>
        <w:rPr>
          <w:rFonts w:ascii="Arial" w:hAnsi="Arial" w:cs="Arial"/>
          <w:color w:val="202122"/>
          <w:sz w:val="21"/>
          <w:szCs w:val="21"/>
        </w:rPr>
        <w:t>. Its corporate practices of servicing the </w:t>
      </w:r>
      <w:hyperlink r:id="rId47" w:tooltip="Middle class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middle class</w:t>
        </w:r>
      </w:hyperlink>
      <w:r>
        <w:rPr>
          <w:rFonts w:ascii="Arial" w:hAnsi="Arial" w:cs="Arial"/>
          <w:color w:val="202122"/>
          <w:sz w:val="21"/>
          <w:szCs w:val="21"/>
        </w:rPr>
        <w:t> and wider banking community has yielded a substantial market share since the early 20th century. As of August 2018, Bank of America has a $313.5 billion </w:t>
      </w:r>
      <w:hyperlink r:id="rId48" w:tooltip="Market capitalization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market capitalization</w:t>
        </w:r>
      </w:hyperlink>
      <w:r>
        <w:rPr>
          <w:rFonts w:ascii="Arial" w:hAnsi="Arial" w:cs="Arial"/>
          <w:color w:val="202122"/>
          <w:sz w:val="21"/>
          <w:szCs w:val="21"/>
        </w:rPr>
        <w:t>, making it the </w:t>
      </w:r>
      <w:hyperlink r:id="rId49" w:tooltip="List of public corporations by market capitalization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13th largest company in the world</w:t>
        </w:r>
      </w:hyperlink>
      <w:r>
        <w:rPr>
          <w:rFonts w:ascii="Arial" w:hAnsi="Arial" w:cs="Arial"/>
          <w:color w:val="202122"/>
          <w:sz w:val="21"/>
          <w:szCs w:val="21"/>
        </w:rPr>
        <w:t>. As the sixth largest American public company, it garnered $102.98 billion in sales as of June 2018.</w:t>
      </w:r>
      <w:hyperlink r:id="rId50" w:anchor="cite_note-10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[10]</w:t>
        </w:r>
      </w:hyperlink>
      <w:r>
        <w:rPr>
          <w:rFonts w:ascii="Arial" w:hAnsi="Arial" w:cs="Arial"/>
          <w:color w:val="202122"/>
          <w:sz w:val="21"/>
          <w:szCs w:val="21"/>
        </w:rPr>
        <w:t> Bank of America was ranked #25 on the 2020 </w:t>
      </w:r>
      <w:hyperlink r:id="rId51" w:tooltip="Fortune 500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Fortune 500</w:t>
        </w:r>
      </w:hyperlink>
      <w:r>
        <w:rPr>
          <w:rFonts w:ascii="Arial" w:hAnsi="Arial" w:cs="Arial"/>
          <w:color w:val="202122"/>
          <w:sz w:val="21"/>
          <w:szCs w:val="21"/>
        </w:rPr>
        <w:t> rankings of the largest US corporations by total revenue.</w:t>
      </w:r>
      <w:hyperlink r:id="rId52" w:anchor="cite_note-11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[11]</w:t>
        </w:r>
      </w:hyperlink>
      <w:r>
        <w:rPr>
          <w:rFonts w:ascii="Arial" w:hAnsi="Arial" w:cs="Arial"/>
          <w:color w:val="202122"/>
          <w:sz w:val="21"/>
          <w:szCs w:val="21"/>
        </w:rPr>
        <w:t> Likewise, Bank of America was also ranked #8 on the 2020 Global 2000 rankings done by Forbes. Bank of America was named the "World's Best Bank" by the </w:t>
      </w:r>
      <w:hyperlink r:id="rId53" w:tooltip="Euromoney Institutional Investor" w:history="1">
        <w:r>
          <w:rPr>
            <w:rStyle w:val="Hyperlink"/>
            <w:rFonts w:ascii="Arial" w:hAnsi="Arial" w:cs="Arial"/>
            <w:i/>
            <w:iCs/>
            <w:color w:val="0645AD"/>
            <w:sz w:val="21"/>
            <w:szCs w:val="21"/>
          </w:rPr>
          <w:t>Euromoney Institutional Investor</w:t>
        </w:r>
      </w:hyperlink>
      <w:r>
        <w:rPr>
          <w:rFonts w:ascii="Arial" w:hAnsi="Arial" w:cs="Arial"/>
          <w:color w:val="202122"/>
          <w:sz w:val="21"/>
          <w:szCs w:val="21"/>
        </w:rPr>
        <w:t> in their 2018 Awards for Excellence.</w:t>
      </w:r>
      <w:hyperlink r:id="rId54" w:anchor="cite_note-12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[12]</w:t>
        </w:r>
      </w:hyperlink>
      <w:hyperlink r:id="rId55" w:anchor="cite_note-13" w:history="1">
        <w:r>
          <w:rPr>
            <w:rStyle w:val="Hyperlink"/>
            <w:rFonts w:ascii="Arial" w:hAnsi="Arial" w:cs="Arial"/>
            <w:color w:val="0645AD"/>
            <w:sz w:val="17"/>
            <w:szCs w:val="17"/>
            <w:vertAlign w:val="superscript"/>
          </w:rPr>
          <w:t>[13]</w:t>
        </w:r>
      </w:hyperlink>
    </w:p>
    <w:p w14:paraId="24FA740A" w14:textId="77777777" w:rsidR="00E16125" w:rsidRPr="00E16125" w:rsidRDefault="00E16125" w:rsidP="00E16125">
      <w:pPr>
        <w:rPr>
          <w:rFonts w:ascii="Times New Roman" w:eastAsia="Times New Roman" w:hAnsi="Times New Roman" w:cs="Times New Roman"/>
        </w:rPr>
      </w:pPr>
    </w:p>
    <w:p w14:paraId="0EBAC3DF" w14:textId="3D96E54D" w:rsidR="009A373E" w:rsidRDefault="009A373E" w:rsidP="00E16125"/>
    <w:sectPr w:rsidR="009A3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C16"/>
    <w:rsid w:val="005B132C"/>
    <w:rsid w:val="005B6962"/>
    <w:rsid w:val="00760428"/>
    <w:rsid w:val="00875769"/>
    <w:rsid w:val="009A373E"/>
    <w:rsid w:val="00D82C16"/>
    <w:rsid w:val="00E16125"/>
    <w:rsid w:val="00EE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651FD6"/>
  <w15:chartTrackingRefBased/>
  <w15:docId w15:val="{6704FF17-2696-D64F-92F1-3356DD403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161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1612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2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Big_Four_(banking)" TargetMode="External"/><Relationship Id="rId18" Type="http://schemas.openxmlformats.org/officeDocument/2006/relationships/hyperlink" Target="https://en.wikipedia.org/wiki/Wealth_management" TargetMode="External"/><Relationship Id="rId26" Type="http://schemas.openxmlformats.org/officeDocument/2006/relationships/hyperlink" Target="https://en.wikipedia.org/wiki/Italy" TargetMode="External"/><Relationship Id="rId39" Type="http://schemas.openxmlformats.org/officeDocument/2006/relationships/hyperlink" Target="https://en.wikipedia.org/wiki/Assets_under_management" TargetMode="External"/><Relationship Id="rId21" Type="http://schemas.openxmlformats.org/officeDocument/2006/relationships/hyperlink" Target="https://en.wikipedia.org/wiki/Italian_diaspora" TargetMode="External"/><Relationship Id="rId34" Type="http://schemas.openxmlformats.org/officeDocument/2006/relationships/hyperlink" Target="https://en.wikipedia.org/wiki/Investment_banking" TargetMode="External"/><Relationship Id="rId42" Type="http://schemas.openxmlformats.org/officeDocument/2006/relationships/hyperlink" Target="https://en.wikipedia.org/wiki/Bank_of_America" TargetMode="External"/><Relationship Id="rId47" Type="http://schemas.openxmlformats.org/officeDocument/2006/relationships/hyperlink" Target="https://en.wikipedia.org/wiki/Middle_class" TargetMode="External"/><Relationship Id="rId50" Type="http://schemas.openxmlformats.org/officeDocument/2006/relationships/hyperlink" Target="https://en.wikipedia.org/wiki/Bank_of_America" TargetMode="External"/><Relationship Id="rId55" Type="http://schemas.openxmlformats.org/officeDocument/2006/relationships/hyperlink" Target="https://en.wikipedia.org/wiki/Bank_of_America" TargetMode="External"/><Relationship Id="rId7" Type="http://schemas.openxmlformats.org/officeDocument/2006/relationships/hyperlink" Target="https://en.wikipedia.org/wiki/Charlotte,_North_Carolin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Wells_Fargo" TargetMode="External"/><Relationship Id="rId29" Type="http://schemas.openxmlformats.org/officeDocument/2006/relationships/hyperlink" Target="https://en.wikipedia.org/wiki/United_States_dollar" TargetMode="External"/><Relationship Id="rId11" Type="http://schemas.openxmlformats.org/officeDocument/2006/relationships/hyperlink" Target="https://en.wikipedia.org/wiki/JPMorgan_Chase" TargetMode="External"/><Relationship Id="rId24" Type="http://schemas.openxmlformats.org/officeDocument/2006/relationships/hyperlink" Target="https://en.wikipedia.org/wiki/San_Francisco" TargetMode="External"/><Relationship Id="rId32" Type="http://schemas.openxmlformats.org/officeDocument/2006/relationships/hyperlink" Target="https://en.wikipedia.org/wiki/Bank_of_America_Merrill_Lynch" TargetMode="External"/><Relationship Id="rId37" Type="http://schemas.openxmlformats.org/officeDocument/2006/relationships/hyperlink" Target="https://en.wikipedia.org/wiki/Bank_of_America" TargetMode="External"/><Relationship Id="rId40" Type="http://schemas.openxmlformats.org/officeDocument/2006/relationships/hyperlink" Target="https://en.wikipedia.org/wiki/Private_banking" TargetMode="External"/><Relationship Id="rId45" Type="http://schemas.openxmlformats.org/officeDocument/2006/relationships/hyperlink" Target="https://en.wikipedia.org/wiki/Automated_teller_machine" TargetMode="External"/><Relationship Id="rId53" Type="http://schemas.openxmlformats.org/officeDocument/2006/relationships/hyperlink" Target="https://en.wikipedia.org/wiki/Euromoney_Institutional_Investor" TargetMode="External"/><Relationship Id="rId5" Type="http://schemas.openxmlformats.org/officeDocument/2006/relationships/hyperlink" Target="https://en.wikipedia.org/wiki/Financial_services" TargetMode="External"/><Relationship Id="rId19" Type="http://schemas.openxmlformats.org/officeDocument/2006/relationships/hyperlink" Target="https://en.wikipedia.org/wiki/Bank_of_Italy_(United_States)" TargetMode="External"/><Relationship Id="rId4" Type="http://schemas.openxmlformats.org/officeDocument/2006/relationships/hyperlink" Target="https://en.wikipedia.org/wiki/Investment_banking" TargetMode="External"/><Relationship Id="rId9" Type="http://schemas.openxmlformats.org/officeDocument/2006/relationships/hyperlink" Target="https://en.wikipedia.org/wiki/List_of_largest_banks_in_the_United_States" TargetMode="External"/><Relationship Id="rId14" Type="http://schemas.openxmlformats.org/officeDocument/2006/relationships/hyperlink" Target="https://en.wikipedia.org/wiki/Bank_of_America" TargetMode="External"/><Relationship Id="rId22" Type="http://schemas.openxmlformats.org/officeDocument/2006/relationships/hyperlink" Target="https://en.wikipedia.org/wiki/Anti-Italianism" TargetMode="External"/><Relationship Id="rId27" Type="http://schemas.openxmlformats.org/officeDocument/2006/relationships/hyperlink" Target="https://en.wikipedia.org/wiki/1998_Russian_financial_crisis" TargetMode="External"/><Relationship Id="rId30" Type="http://schemas.openxmlformats.org/officeDocument/2006/relationships/hyperlink" Target="https://en.wikipedia.org/wiki/List_of_largest_mergers_and_acquisitions" TargetMode="External"/><Relationship Id="rId35" Type="http://schemas.openxmlformats.org/officeDocument/2006/relationships/hyperlink" Target="https://en.wikipedia.org/wiki/Bulge_Bracket" TargetMode="External"/><Relationship Id="rId43" Type="http://schemas.openxmlformats.org/officeDocument/2006/relationships/hyperlink" Target="https://en.wikipedia.org/wiki/District_of_Columbia" TargetMode="External"/><Relationship Id="rId48" Type="http://schemas.openxmlformats.org/officeDocument/2006/relationships/hyperlink" Target="https://en.wikipedia.org/wiki/Market_capitalization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en.wikipedia.org/wiki/San_Francisco" TargetMode="External"/><Relationship Id="rId51" Type="http://schemas.openxmlformats.org/officeDocument/2006/relationships/hyperlink" Target="https://en.wikipedia.org/wiki/Fortune_500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n.wikipedia.org/wiki/List_of_largest_banks" TargetMode="External"/><Relationship Id="rId17" Type="http://schemas.openxmlformats.org/officeDocument/2006/relationships/hyperlink" Target="https://en.wikipedia.org/wiki/Commercial_bank" TargetMode="External"/><Relationship Id="rId25" Type="http://schemas.openxmlformats.org/officeDocument/2006/relationships/hyperlink" Target="https://en.wikipedia.org/wiki/Deutsche_Bank_(Italy)" TargetMode="External"/><Relationship Id="rId33" Type="http://schemas.openxmlformats.org/officeDocument/2006/relationships/hyperlink" Target="https://en.wikipedia.org/wiki/Bank_of_America" TargetMode="External"/><Relationship Id="rId38" Type="http://schemas.openxmlformats.org/officeDocument/2006/relationships/hyperlink" Target="https://en.wikipedia.org/wiki/United_States_dollar" TargetMode="External"/><Relationship Id="rId46" Type="http://schemas.openxmlformats.org/officeDocument/2006/relationships/hyperlink" Target="https://en.wikipedia.org/wiki/Financial_crisis_of_2007%E2%80%932008" TargetMode="External"/><Relationship Id="rId20" Type="http://schemas.openxmlformats.org/officeDocument/2006/relationships/hyperlink" Target="https://en.wikipedia.org/wiki/Amadeo_Giannini" TargetMode="External"/><Relationship Id="rId41" Type="http://schemas.openxmlformats.org/officeDocument/2006/relationships/hyperlink" Target="https://en.wikipedia.org/wiki/UBS" TargetMode="External"/><Relationship Id="rId54" Type="http://schemas.openxmlformats.org/officeDocument/2006/relationships/hyperlink" Target="https://en.wikipedia.org/wiki/Bank_of_America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Holding_company" TargetMode="External"/><Relationship Id="rId15" Type="http://schemas.openxmlformats.org/officeDocument/2006/relationships/hyperlink" Target="https://en.wikipedia.org/wiki/Citigroup" TargetMode="External"/><Relationship Id="rId23" Type="http://schemas.openxmlformats.org/officeDocument/2006/relationships/hyperlink" Target="https://en.wikipedia.org/wiki/Bank_of_America" TargetMode="External"/><Relationship Id="rId28" Type="http://schemas.openxmlformats.org/officeDocument/2006/relationships/hyperlink" Target="https://en.wikipedia.org/wiki/NationsBank" TargetMode="External"/><Relationship Id="rId36" Type="http://schemas.openxmlformats.org/officeDocument/2006/relationships/hyperlink" Target="https://en.wikipedia.org/wiki/List_of_investment_banks" TargetMode="External"/><Relationship Id="rId49" Type="http://schemas.openxmlformats.org/officeDocument/2006/relationships/hyperlink" Target="https://en.wikipedia.org/wiki/List_of_public_corporations_by_market_capitalization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en.wikipedia.org/wiki/United_States" TargetMode="External"/><Relationship Id="rId31" Type="http://schemas.openxmlformats.org/officeDocument/2006/relationships/hyperlink" Target="https://en.wikipedia.org/wiki/Merrill_Lynch" TargetMode="External"/><Relationship Id="rId44" Type="http://schemas.openxmlformats.org/officeDocument/2006/relationships/hyperlink" Target="https://en.wikipedia.org/wiki/Bank_of_America" TargetMode="External"/><Relationship Id="rId52" Type="http://schemas.openxmlformats.org/officeDocument/2006/relationships/hyperlink" Target="https://en.wikipedia.org/wiki/Bank_of_Ameri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1239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Baker</dc:creator>
  <cp:keywords/>
  <dc:description/>
  <cp:lastModifiedBy>Crystal Baker</cp:lastModifiedBy>
  <cp:revision>2</cp:revision>
  <dcterms:created xsi:type="dcterms:W3CDTF">2022-07-12T13:29:00Z</dcterms:created>
  <dcterms:modified xsi:type="dcterms:W3CDTF">2022-07-12T13:29:00Z</dcterms:modified>
</cp:coreProperties>
</file>