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CD1F6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第8章 AI智能问答与Web交互系统设计与实现</w:t>
      </w:r>
    </w:p>
    <w:p w14:paraId="13249BE9">
      <w:p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2937"/>
          <w:sz w:val="24"/>
        </w:rPr>
        <w:t>本章在银发食堂助餐补贴监管数据库基础上，设计并实现一个面向业务数据查询与监管分析的AI</w:t>
      </w:r>
      <w:bookmarkStart w:id="0" w:name="_GoBack"/>
      <w:bookmarkEnd w:id="0"/>
      <w:r>
        <w:rPr>
          <w:rFonts w:hint="eastAsia" w:ascii="宋体" w:hAnsi="宋体" w:eastAsia="宋体" w:cs="宋体"/>
          <w:color w:val="1F2937"/>
          <w:sz w:val="24"/>
        </w:rPr>
        <w:t>智能问答系统。系统以Flask作为Web服务框架，以SQL Server作为数据存储平台，并接入DeepSeek大语言模型完成自然语言到SQL语句的转换及查询结果解读。用户无需掌握复杂SQL语法，即可通过中文问题查询老人信息、就餐记录、补贴发放、助餐点运营、结算单和异常预警等数据。</w:t>
      </w:r>
    </w:p>
    <w:p w14:paraId="3E6649F7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8.1 建设目标与功能概述</w:t>
      </w:r>
    </w:p>
    <w:p w14:paraId="13410CB7">
      <w:p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2937"/>
          <w:sz w:val="24"/>
        </w:rPr>
        <w:t>传统数据库查询通常要求使用者熟悉表结构、字段名称和SQL语法，不利于非技术人员快速获取监管信息。智能问答模块通过自然语言交互降低数据库使用门槛，同时保留生成SQL和结果明细，使查询过程具备可理解性和可核验性。</w:t>
      </w:r>
    </w:p>
    <w:p w14:paraId="07FE6160">
      <w:pPr>
        <w:spacing w:line="360" w:lineRule="auto"/>
        <w:ind w:left="420" w:hanging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2937"/>
          <w:sz w:val="24"/>
        </w:rPr>
        <w:t>1. 支持自然语言问题自动转换为SQL Server只读查询语句。</w:t>
      </w:r>
    </w:p>
    <w:p w14:paraId="71485460">
      <w:pPr>
        <w:spacing w:line="360" w:lineRule="auto"/>
        <w:ind w:left="420" w:hanging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2937"/>
          <w:sz w:val="24"/>
        </w:rPr>
        <w:t>2. 展示模型生成的SQL、查询目的、结果表格和中文分析解读。</w:t>
      </w:r>
    </w:p>
    <w:p w14:paraId="404ACCB5">
      <w:pPr>
        <w:spacing w:line="360" w:lineRule="auto"/>
        <w:ind w:left="420" w:hanging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2937"/>
          <w:sz w:val="24"/>
        </w:rPr>
        <w:t>3. 提供老人、补贴、就餐、预警、助餐点等核心指标的交互式统计详情。</w:t>
      </w:r>
    </w:p>
    <w:p w14:paraId="02FECC65">
      <w:pPr>
        <w:spacing w:line="360" w:lineRule="auto"/>
        <w:ind w:left="420" w:hanging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2937"/>
          <w:sz w:val="24"/>
        </w:rPr>
        <w:t>4. 通过安全校验阻止写入、删除、建表和执行存储过程等危险操作。</w:t>
      </w:r>
    </w:p>
    <w:p w14:paraId="4C39843A">
      <w:pPr>
        <w:spacing w:line="360" w:lineRule="auto"/>
        <w:ind w:left="420" w:hanging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2937"/>
          <w:sz w:val="24"/>
        </w:rPr>
        <w:t>5. 支持局域网访问与ngrok固定域名公网HTTPS访问。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19262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EAF5F1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3A9E020">
            <w:pPr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2B8F77"/>
                <w:sz w:val="22"/>
              </w:rPr>
              <w:t>当前系统数据概况：</w:t>
            </w:r>
            <w:r>
              <w:rPr>
                <w:rFonts w:hint="eastAsia" w:ascii="宋体" w:hAnsi="宋体" w:eastAsia="宋体" w:cs="宋体"/>
                <w:color w:val="1F2937"/>
                <w:sz w:val="22"/>
              </w:rPr>
              <w:t>正常账户老人45人，累计就餐记录2363条，累计补贴金额18136.60元，待处理或处理中预警14条，正常运营助餐点5个。</w:t>
            </w:r>
          </w:p>
        </w:tc>
      </w:tr>
    </w:tbl>
    <w:p w14:paraId="22A6C75E">
      <w:pPr>
        <w:spacing w:after="0"/>
        <w:rPr>
          <w:rFonts w:hint="eastAsia" w:ascii="宋体" w:hAnsi="宋体" w:eastAsia="宋体" w:cs="宋体"/>
        </w:rPr>
      </w:pPr>
    </w:p>
    <w:p w14:paraId="0941AA3B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8.2 系统技术架构</w:t>
      </w:r>
    </w:p>
    <w:p w14:paraId="20EDCD07">
      <w:p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2937"/>
          <w:sz w:val="24"/>
        </w:rPr>
        <w:t>系统采用浏览器、Flask服务、DeepSeek模型与SQL Server数据库协同工作的分层架构。浏览器负责问题输入和结果展示；Flask负责接口路由、模型调用、SQL安全校验与数据序列化；DeepSeek负责理解问题、生成SQL和解读结果；SQL Server负责执行查询并返回真实业务数据。</w:t>
      </w:r>
    </w:p>
    <w:p w14:paraId="300ADCC5">
      <w:pPr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579745" cy="2479675"/>
            <wp:effectExtent l="0" t="0" r="825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18D0A">
      <w:pPr>
        <w:pStyle w:val="16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图8-1 AI智能问答系统总体架构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610A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D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DE41C2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F2937"/>
                <w:sz w:val="21"/>
              </w:rPr>
              <w:t>层次</w:t>
            </w:r>
          </w:p>
        </w:tc>
        <w:tc>
          <w:tcPr>
            <w:tcW w:w="2268" w:type="dxa"/>
            <w:shd w:val="clear" w:color="auto" w:fill="DD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2343BC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F2937"/>
                <w:sz w:val="21"/>
              </w:rPr>
              <w:t>主要技术</w:t>
            </w:r>
          </w:p>
        </w:tc>
        <w:tc>
          <w:tcPr>
            <w:tcW w:w="5443" w:type="dxa"/>
            <w:shd w:val="clear" w:color="auto" w:fill="DD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FC4268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F2937"/>
                <w:sz w:val="21"/>
              </w:rPr>
              <w:t>主要职责</w:t>
            </w:r>
          </w:p>
        </w:tc>
      </w:tr>
      <w:tr w14:paraId="3A107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AB7FDC">
            <w:pPr>
              <w:spacing w:after="0"/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交互层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B74F5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HTML、CSS、JavaScript</w:t>
            </w:r>
          </w:p>
        </w:tc>
        <w:tc>
          <w:tcPr>
            <w:tcW w:w="54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088C74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提供问答输入、SQL展示、结果表格、统计卡片及详情可视化。</w:t>
            </w:r>
          </w:p>
        </w:tc>
      </w:tr>
      <w:tr w14:paraId="7B2CF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57A66">
            <w:pPr>
              <w:spacing w:after="0"/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服务层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B0D1C3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Python、Flask</w:t>
            </w:r>
          </w:p>
        </w:tc>
        <w:tc>
          <w:tcPr>
            <w:tcW w:w="54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FA4A6B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处理HTTP请求，组织NL2SQL流程，执行安全校验并返回JSON。</w:t>
            </w:r>
          </w:p>
        </w:tc>
      </w:tr>
      <w:tr w14:paraId="69C7C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D5530">
            <w:pPr>
              <w:spacing w:after="0"/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智能层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08CDB0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DeepSeek Chat API</w:t>
            </w:r>
          </w:p>
        </w:tc>
        <w:tc>
          <w:tcPr>
            <w:tcW w:w="54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C2A650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理解中文问题、生成SQL，并对查询结果进行自然语言解读。</w:t>
            </w:r>
          </w:p>
        </w:tc>
      </w:tr>
      <w:tr w14:paraId="6A733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2E5BB8">
            <w:pPr>
              <w:spacing w:after="0"/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数据层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A946AD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SQL Server、pyodbc</w:t>
            </w:r>
          </w:p>
        </w:tc>
        <w:tc>
          <w:tcPr>
            <w:tcW w:w="54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51C29E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保存业务数据，执行连接查询、聚合分析和窗口函数查询。</w:t>
            </w:r>
          </w:p>
        </w:tc>
      </w:tr>
      <w:tr w14:paraId="169EE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F6EDF">
            <w:pPr>
              <w:spacing w:after="0"/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公网访问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681B0B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ngrok固定域名</w:t>
            </w:r>
          </w:p>
        </w:tc>
        <w:tc>
          <w:tcPr>
            <w:tcW w:w="54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314A1C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将本地Flask服务映射为固定域名公网HTTPS地址。</w:t>
            </w:r>
          </w:p>
        </w:tc>
      </w:tr>
    </w:tbl>
    <w:p w14:paraId="08CFBC45">
      <w:pPr>
        <w:spacing w:after="0"/>
        <w:rPr>
          <w:rFonts w:hint="eastAsia" w:ascii="宋体" w:hAnsi="宋体" w:eastAsia="宋体" w:cs="宋体"/>
        </w:rPr>
      </w:pPr>
    </w:p>
    <w:p w14:paraId="4B2FF134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8.3 自然语言转SQL实现流程</w:t>
      </w:r>
    </w:p>
    <w:p w14:paraId="56C4CD50">
      <w:p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2937"/>
          <w:sz w:val="24"/>
        </w:rPr>
        <w:t>智能问答的核心是NL2SQL处理链。系统首先把数据库表结构、字段含义、枚举值及SQL Server语法规则写入系统提示词，再将用户问题发送给DeepSeek。模型返回结构化JSON，其中包括是否需要查询数据库、生成的SQL以及查询目的说明。</w:t>
      </w:r>
    </w:p>
    <w:p w14:paraId="69D55180">
      <w:pPr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579745" cy="2479675"/>
            <wp:effectExtent l="0" t="0" r="825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173A">
      <w:pPr>
        <w:pStyle w:val="16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图8-2 自然语言问答处理流程</w:t>
      </w:r>
    </w:p>
    <w:p w14:paraId="689B420F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8.3.1 数据库Schema提示词设计</w:t>
      </w:r>
    </w:p>
    <w:p w14:paraId="07CA87D3">
      <w:p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2937"/>
          <w:sz w:val="24"/>
        </w:rPr>
        <w:t>系统提示词完整描述Elderly、DiningRecord、SubsidyQualification、DiningPoint、SubsidyRule、SettlementSheet、AbnormalWarning和AuditLog等核心表。为避免模型将自然语言状态直接作为数据库值使用，提示词还明确规定风险等级只能使用“高、中、低”，处理状态只能使用“待处理、处理中、已处理、已忽略”等真实枚举值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BF28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4F7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87FA3EC">
            <w:pPr>
              <w:spacing w:after="0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D525E"/>
                <w:sz w:val="19"/>
              </w:rPr>
              <w:t>重要枚举值：</w:t>
            </w:r>
            <w:r>
              <w:rPr>
                <w:rFonts w:hint="eastAsia" w:ascii="宋体" w:hAnsi="宋体" w:eastAsia="宋体" w:cs="宋体"/>
                <w:color w:val="2D525E"/>
                <w:sz w:val="19"/>
              </w:rPr>
              <w:br w:type="textWrapping"/>
            </w:r>
            <w:r>
              <w:rPr>
                <w:rFonts w:hint="eastAsia" w:ascii="宋体" w:hAnsi="宋体" w:eastAsia="宋体" w:cs="宋体"/>
                <w:color w:val="2D525E"/>
                <w:sz w:val="19"/>
              </w:rPr>
              <w:t>- AbnormalWarning.RiskLevel：N'高'、N'中'、N'低'</w:t>
            </w:r>
            <w:r>
              <w:rPr>
                <w:rFonts w:hint="eastAsia" w:ascii="宋体" w:hAnsi="宋体" w:eastAsia="宋体" w:cs="宋体"/>
                <w:color w:val="2D525E"/>
                <w:sz w:val="19"/>
              </w:rPr>
              <w:br w:type="textWrapping"/>
            </w:r>
            <w:r>
              <w:rPr>
                <w:rFonts w:hint="eastAsia" w:ascii="宋体" w:hAnsi="宋体" w:eastAsia="宋体" w:cs="宋体"/>
                <w:color w:val="2D525E"/>
                <w:sz w:val="19"/>
              </w:rPr>
              <w:t>- AbnormalWarning.HandleStatus：N'待处理'、N'处理中'、N'已处理'、N'已忽略'</w:t>
            </w:r>
            <w:r>
              <w:rPr>
                <w:rFonts w:hint="eastAsia" w:ascii="宋体" w:hAnsi="宋体" w:eastAsia="宋体" w:cs="宋体"/>
                <w:color w:val="2D525E"/>
                <w:sz w:val="19"/>
              </w:rPr>
              <w:br w:type="textWrapping"/>
            </w:r>
            <w:r>
              <w:rPr>
                <w:rFonts w:hint="eastAsia" w:ascii="宋体" w:hAnsi="宋体" w:eastAsia="宋体" w:cs="宋体"/>
                <w:color w:val="2D525E"/>
                <w:sz w:val="19"/>
              </w:rPr>
              <w:t>- Elderly.AccountStatus：N'正常'、N'冻结'、N'注销'</w:t>
            </w:r>
            <w:r>
              <w:rPr>
                <w:rFonts w:hint="eastAsia" w:ascii="宋体" w:hAnsi="宋体" w:eastAsia="宋体" w:cs="宋体"/>
                <w:color w:val="2D525E"/>
                <w:sz w:val="19"/>
              </w:rPr>
              <w:br w:type="textWrapping"/>
            </w:r>
            <w:r>
              <w:rPr>
                <w:rFonts w:hint="eastAsia" w:ascii="宋体" w:hAnsi="宋体" w:eastAsia="宋体" w:cs="宋体"/>
                <w:color w:val="2D525E"/>
                <w:sz w:val="19"/>
              </w:rPr>
              <w:t>- DiningPoint.OperationStatus：N'正常运营'、N'暂停营业'、N'注销'</w:t>
            </w:r>
            <w:r>
              <w:rPr>
                <w:rFonts w:hint="eastAsia" w:ascii="宋体" w:hAnsi="宋体" w:eastAsia="宋体" w:cs="宋体"/>
                <w:color w:val="2D525E"/>
                <w:sz w:val="19"/>
              </w:rPr>
              <w:br w:type="textWrapping"/>
            </w:r>
          </w:p>
        </w:tc>
      </w:tr>
    </w:tbl>
    <w:p w14:paraId="004819D7">
      <w:pPr>
        <w:spacing w:after="0"/>
        <w:rPr>
          <w:rFonts w:hint="eastAsia" w:ascii="宋体" w:hAnsi="宋体" w:eastAsia="宋体" w:cs="宋体"/>
        </w:rPr>
      </w:pPr>
    </w:p>
    <w:p w14:paraId="3F9F08CB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8.3.2 SQL生成与枚举值归一化</w:t>
      </w:r>
    </w:p>
    <w:p w14:paraId="5CBDBA9E">
      <w:p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2937"/>
          <w:sz w:val="24"/>
        </w:rPr>
        <w:t>模型返回的JSON经解析后，系统会对SQL中的常见自然语言扩写进行归一化。例如用户提出“查询高风险预警”时，模型可能生成RiskLevel=N'高风险'，但数据库实际存储值为N'高'。归一化模块会在执行前自动纠正该字符串常量，从而提升查询命中率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5CBF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4F7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222260A">
            <w:pPr>
              <w:spacing w:after="0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D525E"/>
                <w:sz w:val="19"/>
              </w:rPr>
              <w:t>def normalize_generated_sql(sql: str) -&gt; str:</w:t>
            </w:r>
            <w:r>
              <w:rPr>
                <w:rFonts w:hint="eastAsia" w:ascii="宋体" w:hAnsi="宋体" w:eastAsia="宋体" w:cs="宋体"/>
                <w:color w:val="2D525E"/>
                <w:sz w:val="19"/>
              </w:rPr>
              <w:br w:type="textWrapping"/>
            </w:r>
            <w:r>
              <w:rPr>
                <w:rFonts w:hint="eastAsia" w:ascii="宋体" w:hAnsi="宋体" w:eastAsia="宋体" w:cs="宋体"/>
                <w:color w:val="2D525E"/>
                <w:sz w:val="19"/>
              </w:rPr>
              <w:t xml:space="preserve">    literal_replacements = {</w:t>
            </w:r>
            <w:r>
              <w:rPr>
                <w:rFonts w:hint="eastAsia" w:ascii="宋体" w:hAnsi="宋体" w:eastAsia="宋体" w:cs="宋体"/>
                <w:color w:val="2D525E"/>
                <w:sz w:val="19"/>
              </w:rPr>
              <w:br w:type="textWrapping"/>
            </w:r>
            <w:r>
              <w:rPr>
                <w:rFonts w:hint="eastAsia" w:ascii="宋体" w:hAnsi="宋体" w:eastAsia="宋体" w:cs="宋体"/>
                <w:color w:val="2D525E"/>
                <w:sz w:val="19"/>
              </w:rPr>
              <w:t xml:space="preserve">        "高风险": "高",</w:t>
            </w:r>
            <w:r>
              <w:rPr>
                <w:rFonts w:hint="eastAsia" w:ascii="宋体" w:hAnsi="宋体" w:eastAsia="宋体" w:cs="宋体"/>
                <w:color w:val="2D525E"/>
                <w:sz w:val="19"/>
              </w:rPr>
              <w:br w:type="textWrapping"/>
            </w:r>
            <w:r>
              <w:rPr>
                <w:rFonts w:hint="eastAsia" w:ascii="宋体" w:hAnsi="宋体" w:eastAsia="宋体" w:cs="宋体"/>
                <w:color w:val="2D525E"/>
                <w:sz w:val="19"/>
              </w:rPr>
              <w:t xml:space="preserve">        "中风险": "中",</w:t>
            </w:r>
            <w:r>
              <w:rPr>
                <w:rFonts w:hint="eastAsia" w:ascii="宋体" w:hAnsi="宋体" w:eastAsia="宋体" w:cs="宋体"/>
                <w:color w:val="2D525E"/>
                <w:sz w:val="19"/>
              </w:rPr>
              <w:br w:type="textWrapping"/>
            </w:r>
            <w:r>
              <w:rPr>
                <w:rFonts w:hint="eastAsia" w:ascii="宋体" w:hAnsi="宋体" w:eastAsia="宋体" w:cs="宋体"/>
                <w:color w:val="2D525E"/>
                <w:sz w:val="19"/>
              </w:rPr>
              <w:t xml:space="preserve">        "低风险": "低",</w:t>
            </w:r>
            <w:r>
              <w:rPr>
                <w:rFonts w:hint="eastAsia" w:ascii="宋体" w:hAnsi="宋体" w:eastAsia="宋体" w:cs="宋体"/>
                <w:color w:val="2D525E"/>
                <w:sz w:val="19"/>
              </w:rPr>
              <w:br w:type="textWrapping"/>
            </w:r>
            <w:r>
              <w:rPr>
                <w:rFonts w:hint="eastAsia" w:ascii="宋体" w:hAnsi="宋体" w:eastAsia="宋体" w:cs="宋体"/>
                <w:color w:val="2D525E"/>
                <w:sz w:val="19"/>
              </w:rPr>
              <w:t xml:space="preserve">        "等待处理": "待处理",</w:t>
            </w:r>
            <w:r>
              <w:rPr>
                <w:rFonts w:hint="eastAsia" w:ascii="宋体" w:hAnsi="宋体" w:eastAsia="宋体" w:cs="宋体"/>
                <w:color w:val="2D525E"/>
                <w:sz w:val="19"/>
              </w:rPr>
              <w:br w:type="textWrapping"/>
            </w:r>
            <w:r>
              <w:rPr>
                <w:rFonts w:hint="eastAsia" w:ascii="宋体" w:hAnsi="宋体" w:eastAsia="宋体" w:cs="宋体"/>
                <w:color w:val="2D525E"/>
                <w:sz w:val="19"/>
              </w:rPr>
              <w:t xml:space="preserve">    }</w:t>
            </w:r>
            <w:r>
              <w:rPr>
                <w:rFonts w:hint="eastAsia" w:ascii="宋体" w:hAnsi="宋体" w:eastAsia="宋体" w:cs="宋体"/>
                <w:color w:val="2D525E"/>
                <w:sz w:val="19"/>
              </w:rPr>
              <w:br w:type="textWrapping"/>
            </w:r>
            <w:r>
              <w:rPr>
                <w:rFonts w:hint="eastAsia" w:ascii="宋体" w:hAnsi="宋体" w:eastAsia="宋体" w:cs="宋体"/>
                <w:color w:val="2D525E"/>
                <w:sz w:val="19"/>
              </w:rPr>
              <w:t xml:space="preserve">    ...</w:t>
            </w:r>
            <w:r>
              <w:rPr>
                <w:rFonts w:hint="eastAsia" w:ascii="宋体" w:hAnsi="宋体" w:eastAsia="宋体" w:cs="宋体"/>
                <w:color w:val="2D525E"/>
                <w:sz w:val="19"/>
              </w:rPr>
              <w:br w:type="textWrapping"/>
            </w:r>
          </w:p>
        </w:tc>
      </w:tr>
    </w:tbl>
    <w:p w14:paraId="332A4F29">
      <w:pPr>
        <w:spacing w:after="0"/>
        <w:rPr>
          <w:rFonts w:hint="eastAsia" w:ascii="宋体" w:hAnsi="宋体" w:eastAsia="宋体" w:cs="宋体"/>
        </w:rPr>
      </w:pPr>
    </w:p>
    <w:p w14:paraId="624297FB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8.4 SQL安全控制与数据库访问</w:t>
      </w:r>
    </w:p>
    <w:p w14:paraId="5094A96A">
      <w:p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2937"/>
          <w:sz w:val="24"/>
        </w:rPr>
        <w:t>由于大语言模型生成的内容具有不确定性，系统不能直接执行模型输出。后端采用白名单式只读策略，只允许以SELECT或WITH开头的单条查询，并使用正则表达式拦截INSERT、UPDATE、DELETE、DROP、ALTER、EXEC等危险关键字。同时禁止SQL注释和多语句执行，降低提示注入和误操作风险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915B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D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07E50F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F2937"/>
                <w:sz w:val="21"/>
              </w:rPr>
              <w:t>安全控制</w:t>
            </w:r>
          </w:p>
        </w:tc>
        <w:tc>
          <w:tcPr>
            <w:tcW w:w="3402" w:type="dxa"/>
            <w:shd w:val="clear" w:color="auto" w:fill="DD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D08033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F2937"/>
                <w:sz w:val="21"/>
              </w:rPr>
              <w:t>实现方式</w:t>
            </w:r>
          </w:p>
        </w:tc>
        <w:tc>
          <w:tcPr>
            <w:tcW w:w="3969" w:type="dxa"/>
            <w:shd w:val="clear" w:color="auto" w:fill="DD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AA7579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F2937"/>
                <w:sz w:val="21"/>
              </w:rPr>
              <w:t>控制效果</w:t>
            </w:r>
          </w:p>
        </w:tc>
      </w:tr>
      <w:tr w14:paraId="4A49A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D79D54">
            <w:pPr>
              <w:spacing w:after="0"/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只读入口限制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38606E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仅允许SELECT或WITH开头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79D4A7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阻止数据写入和结构修改。</w:t>
            </w:r>
          </w:p>
        </w:tc>
      </w:tr>
      <w:tr w14:paraId="78346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568A82">
            <w:pPr>
              <w:spacing w:after="0"/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危险关键字拦截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AAC95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匹配INSERT、UPDATE、DELETE、DROP、EXEC等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7D5E38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避免模型生成高风险操作。</w:t>
            </w:r>
          </w:p>
        </w:tc>
      </w:tr>
      <w:tr w14:paraId="39D63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B5BF30">
            <w:pPr>
              <w:spacing w:after="0"/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单语句限制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07D59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按分号拆分并限制有效语句数量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383440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降低拼接多条SQL的风险。</w:t>
            </w:r>
          </w:p>
        </w:tc>
      </w:tr>
      <w:tr w14:paraId="7E91F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0F278F">
            <w:pPr>
              <w:spacing w:after="0"/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注释限制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5EEBAE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拒绝--、/*、*/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A7147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降低通过注释绕过检查的可能性。</w:t>
            </w:r>
          </w:p>
        </w:tc>
      </w:tr>
      <w:tr w14:paraId="3F4F4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0026B4">
            <w:pPr>
              <w:spacing w:after="0"/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请求频率限制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31B4C1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按客户端IP记录请求历史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50F4C3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保护DeepSeek余额并减少接口滥用。</w:t>
            </w:r>
          </w:p>
        </w:tc>
      </w:tr>
    </w:tbl>
    <w:p w14:paraId="5208FCDC">
      <w:pPr>
        <w:spacing w:after="0"/>
        <w:rPr>
          <w:rFonts w:hint="eastAsia" w:ascii="宋体" w:hAnsi="宋体" w:eastAsia="宋体" w:cs="宋体"/>
        </w:rPr>
      </w:pPr>
    </w:p>
    <w:p w14:paraId="7C77C20C">
      <w:p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2937"/>
          <w:sz w:val="24"/>
        </w:rPr>
        <w:t>数据库连接通过pyodbc建立，查询结果中的日期、时间和Decimal类型在返回前统一转换为JSON可序列化格式。接口最多将部分记录发送给模型解读，避免大量明细占用过多Token。</w:t>
      </w:r>
    </w:p>
    <w:p w14:paraId="35F8D8A5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8.5 后端接口设计</w:t>
      </w:r>
    </w:p>
    <w:p w14:paraId="56FFCB26">
      <w:p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2937"/>
          <w:sz w:val="24"/>
        </w:rPr>
        <w:t>Flask后端将系统能力封装为REST接口。前端通过fetch发送请求并接收JSON结果，实现页面与数据库服务解耦。主要接口如下表所示。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3783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D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ED713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F2937"/>
                <w:sz w:val="21"/>
              </w:rPr>
              <w:t>接口</w:t>
            </w:r>
          </w:p>
        </w:tc>
        <w:tc>
          <w:tcPr>
            <w:tcW w:w="1247" w:type="dxa"/>
            <w:shd w:val="clear" w:color="auto" w:fill="DD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7F29B1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F2937"/>
                <w:sz w:val="21"/>
              </w:rPr>
              <w:t>方法</w:t>
            </w:r>
          </w:p>
        </w:tc>
        <w:tc>
          <w:tcPr>
            <w:tcW w:w="4989" w:type="dxa"/>
            <w:shd w:val="clear" w:color="auto" w:fill="DD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025B04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F2937"/>
                <w:sz w:val="21"/>
              </w:rPr>
              <w:t>功能</w:t>
            </w:r>
          </w:p>
        </w:tc>
      </w:tr>
      <w:tr w14:paraId="415F8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9B050F">
            <w:pPr>
              <w:spacing w:after="0"/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/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69D5F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GET</w:t>
            </w:r>
          </w:p>
        </w:tc>
        <w:tc>
          <w:tcPr>
            <w:tcW w:w="49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3EF40C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返回智能问答主页。</w:t>
            </w:r>
          </w:p>
        </w:tc>
      </w:tr>
      <w:tr w14:paraId="09401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23479E">
            <w:pPr>
              <w:spacing w:after="0"/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/api/ask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D14376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POST</w:t>
            </w:r>
          </w:p>
        </w:tc>
        <w:tc>
          <w:tcPr>
            <w:tcW w:w="49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93FB8F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执行自然语言转SQL、查询和AI结果解读。</w:t>
            </w:r>
          </w:p>
        </w:tc>
      </w:tr>
      <w:tr w14:paraId="77217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64B18">
            <w:pPr>
              <w:spacing w:after="0"/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/api/quick_stats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667D5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GET</w:t>
            </w:r>
          </w:p>
        </w:tc>
        <w:tc>
          <w:tcPr>
            <w:tcW w:w="49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D81222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返回顶部五项核心统计指标。</w:t>
            </w:r>
          </w:p>
        </w:tc>
      </w:tr>
      <w:tr w14:paraId="204FB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1997C">
            <w:pPr>
              <w:spacing w:after="0"/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/api/stat_detail/&lt;metric&gt;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DCB49C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GET</w:t>
            </w:r>
          </w:p>
        </w:tc>
        <w:tc>
          <w:tcPr>
            <w:tcW w:w="49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A6D70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返回统计卡片对应的分布数据与明细记录。</w:t>
            </w:r>
          </w:p>
        </w:tc>
      </w:tr>
      <w:tr w14:paraId="4C8C1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FD929E">
            <w:pPr>
              <w:spacing w:after="0"/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/api/suggested_questions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F56C5C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GET</w:t>
            </w:r>
          </w:p>
        </w:tc>
        <w:tc>
          <w:tcPr>
            <w:tcW w:w="49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35D03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返回侧栏示例问题。</w:t>
            </w:r>
          </w:p>
        </w:tc>
      </w:tr>
      <w:tr w14:paraId="31668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98D63E">
            <w:pPr>
              <w:spacing w:after="0"/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/api/test_db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B2966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GET</w:t>
            </w:r>
          </w:p>
        </w:tc>
        <w:tc>
          <w:tcPr>
            <w:tcW w:w="49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2457F9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检查数据库连接和模型启用状态。</w:t>
            </w:r>
          </w:p>
        </w:tc>
      </w:tr>
    </w:tbl>
    <w:p w14:paraId="19DF4DCA">
      <w:pPr>
        <w:spacing w:after="0"/>
        <w:rPr>
          <w:rFonts w:hint="eastAsia" w:ascii="宋体" w:hAnsi="宋体" w:eastAsia="宋体" w:cs="宋体"/>
        </w:rPr>
      </w:pPr>
    </w:p>
    <w:p w14:paraId="46FC52FE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8.6 前端页面与交互功能</w:t>
      </w:r>
    </w:p>
    <w:p w14:paraId="487ACE93">
      <w:p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2937"/>
          <w:sz w:val="24"/>
        </w:rPr>
        <w:t>前端采用单页式工作台布局，整体使用浅色青绿色配色，突出数据阅读和重复操作效率。页面由顶部状态栏、核心统计卡片、示例问题侧栏、消息区域和输入区域组成。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51DFF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D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A8C0A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F2937"/>
                <w:sz w:val="21"/>
              </w:rPr>
              <w:t>交互区域</w:t>
            </w:r>
          </w:p>
        </w:tc>
        <w:tc>
          <w:tcPr>
            <w:tcW w:w="6690" w:type="dxa"/>
            <w:shd w:val="clear" w:color="auto" w:fill="DD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ECA22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F2937"/>
                <w:sz w:val="21"/>
              </w:rPr>
              <w:t>实现功能</w:t>
            </w:r>
          </w:p>
        </w:tc>
      </w:tr>
      <w:tr w14:paraId="20A84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FFC6F">
            <w:pPr>
              <w:spacing w:after="0"/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顶部状态栏</w:t>
            </w:r>
          </w:p>
        </w:tc>
        <w:tc>
          <w:tcPr>
            <w:tcW w:w="66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04D000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显示系统名称、数据库名称、数据库连接状态和LLM启用状态。</w:t>
            </w:r>
          </w:p>
        </w:tc>
      </w:tr>
      <w:tr w14:paraId="30DF6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3AEB2">
            <w:pPr>
              <w:spacing w:after="0"/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核心统计卡片</w:t>
            </w:r>
          </w:p>
        </w:tc>
        <w:tc>
          <w:tcPr>
            <w:tcW w:w="66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7EAED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展示正常老人、累计就餐、累计补贴、待处理预警和运营助餐点数量。</w:t>
            </w:r>
          </w:p>
        </w:tc>
      </w:tr>
      <w:tr w14:paraId="5A3B5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51D2A6">
            <w:pPr>
              <w:spacing w:after="0"/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统计详情面板</w:t>
            </w:r>
          </w:p>
        </w:tc>
        <w:tc>
          <w:tcPr>
            <w:tcW w:w="66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86816A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点击统计卡片后显示横向柱状图及最多100条对应明细。</w:t>
            </w:r>
          </w:p>
        </w:tc>
      </w:tr>
      <w:tr w14:paraId="29BB3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0A7187">
            <w:pPr>
              <w:spacing w:after="0"/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示例问题侧栏</w:t>
            </w:r>
          </w:p>
        </w:tc>
        <w:tc>
          <w:tcPr>
            <w:tcW w:w="66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CA2D22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按老人查询、补贴分析、结算监管和风险预警进行问题分类。</w:t>
            </w:r>
          </w:p>
        </w:tc>
      </w:tr>
      <w:tr w14:paraId="245A2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37484B">
            <w:pPr>
              <w:spacing w:after="0"/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消息与结果区域</w:t>
            </w:r>
          </w:p>
        </w:tc>
        <w:tc>
          <w:tcPr>
            <w:tcW w:w="66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E11E71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展示用户问题、生成SQL、查询结果表格和AI分析解读。</w:t>
            </w:r>
          </w:p>
        </w:tc>
      </w:tr>
      <w:tr w14:paraId="365E5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210D7E">
            <w:pPr>
              <w:spacing w:after="0"/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输入区域</w:t>
            </w:r>
          </w:p>
        </w:tc>
        <w:tc>
          <w:tcPr>
            <w:tcW w:w="66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CC6BF1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支持Enter发送、Shift+Enter换行和文本框自动高度调整。</w:t>
            </w:r>
          </w:p>
        </w:tc>
      </w:tr>
    </w:tbl>
    <w:p w14:paraId="3A7A32AD">
      <w:pPr>
        <w:spacing w:after="0"/>
        <w:rPr>
          <w:rFonts w:hint="eastAsia" w:ascii="宋体" w:hAnsi="宋体" w:eastAsia="宋体" w:cs="宋体"/>
        </w:rPr>
      </w:pPr>
    </w:p>
    <w:p w14:paraId="26BB04FC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8.6.1 核心指标交互可视化</w:t>
      </w:r>
    </w:p>
    <w:p w14:paraId="1DF7C1C4">
      <w:p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2937"/>
          <w:sz w:val="24"/>
        </w:rPr>
        <w:t>顶部五项统计数据不仅用于概览，也作为详情入口。用户点击任一卡片后，系统直接调用预设只读查询接口，不经过大模型，因此响应稳定且不消耗模型额度。详情面板以横向柱状图显示分布情况，并提供对应的业务明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3C78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D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62DCDC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F2937"/>
                <w:sz w:val="21"/>
              </w:rPr>
              <w:t>统计卡片</w:t>
            </w:r>
          </w:p>
        </w:tc>
        <w:tc>
          <w:tcPr>
            <w:tcW w:w="3175" w:type="dxa"/>
            <w:shd w:val="clear" w:color="auto" w:fill="DD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E13147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F2937"/>
                <w:sz w:val="21"/>
              </w:rPr>
              <w:t>分布图</w:t>
            </w:r>
          </w:p>
        </w:tc>
        <w:tc>
          <w:tcPr>
            <w:tcW w:w="3969" w:type="dxa"/>
            <w:shd w:val="clear" w:color="auto" w:fill="DD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F06E02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F2937"/>
                <w:sz w:val="21"/>
              </w:rPr>
              <w:t>明细内容</w:t>
            </w:r>
          </w:p>
        </w:tc>
      </w:tr>
      <w:tr w14:paraId="5BE79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505F5">
            <w:pPr>
              <w:spacing w:after="0"/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正常账户老人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2052B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60-69岁、70-79岁、80岁及以上人数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51C9B1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老人编号、姓名、年龄、电话、地址和注册时间。</w:t>
            </w:r>
          </w:p>
        </w:tc>
      </w:tr>
      <w:tr w14:paraId="51A3F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AD4257">
            <w:pPr>
              <w:spacing w:after="0"/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累计就餐记录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E0D015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各助餐点累计服务人次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2A267A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最近100条就餐记录及消费、补贴和结算状态。</w:t>
            </w:r>
          </w:p>
        </w:tc>
      </w:tr>
      <w:tr w14:paraId="31C7D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46C92">
            <w:pPr>
              <w:spacing w:after="0"/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累计补贴金额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4C4F84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各补贴类型累计金额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A35AE2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补贴金额较高的就餐记录。</w:t>
            </w:r>
          </w:p>
        </w:tc>
      </w:tr>
      <w:tr w14:paraId="598AD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8FEA22">
            <w:pPr>
              <w:spacing w:after="0"/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待处理预警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9E53C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高、中、低风险预警数量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ECCE22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待处理和处理中预警的具体信息。</w:t>
            </w:r>
          </w:p>
        </w:tc>
      </w:tr>
      <w:tr w14:paraId="6CED8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D16D05">
            <w:pPr>
              <w:spacing w:after="0"/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正常运营助餐点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707C1C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各助餐点累计服务人次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01851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助餐点地址、负责人、联系电话和累计补贴。</w:t>
            </w:r>
          </w:p>
        </w:tc>
      </w:tr>
    </w:tbl>
    <w:p w14:paraId="49CD46CC">
      <w:pPr>
        <w:spacing w:after="0"/>
        <w:rPr>
          <w:rFonts w:hint="eastAsia" w:ascii="宋体" w:hAnsi="宋体" w:eastAsia="宋体" w:cs="宋体"/>
        </w:rPr>
      </w:pPr>
    </w:p>
    <w:p w14:paraId="620A6BA3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8.7 DeepSeek结果解读</w:t>
      </w:r>
    </w:p>
    <w:p w14:paraId="2B3CA39D">
      <w:p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2937"/>
          <w:sz w:val="24"/>
        </w:rPr>
        <w:t>SQL执行完成后，系统将用户问题、实际SQL、结果字段、总记录数和前30条数据组成结构化摘要，再发送给DeepSeek进行分析。模型需要概括关键发现、识别风险和异常，并在必要时提出监管建议。若模型解读调用失败，系统仍可使用本地摘要函数返回记录数、字段和数值合计，确保查询结果可用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09A30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EAF2F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1FC0346">
            <w:pPr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2B8F77"/>
                <w:sz w:val="22"/>
              </w:rPr>
              <w:t>示例：</w:t>
            </w:r>
            <w:r>
              <w:rPr>
                <w:rFonts w:hint="eastAsia" w:ascii="宋体" w:hAnsi="宋体" w:eastAsia="宋体" w:cs="宋体"/>
                <w:color w:val="1F2937"/>
                <w:sz w:val="22"/>
              </w:rPr>
              <w:t>查询“所有高风险异常预警”时，系统生成 WHERE RiskLevel = N'高'，返回对应预警记录，并进一步说明异常类型、处理状态及优先处置建议。</w:t>
            </w:r>
          </w:p>
        </w:tc>
      </w:tr>
    </w:tbl>
    <w:p w14:paraId="4F0D50AB">
      <w:pPr>
        <w:spacing w:after="0"/>
        <w:rPr>
          <w:rFonts w:hint="eastAsia" w:ascii="宋体" w:hAnsi="宋体" w:eastAsia="宋体" w:cs="宋体"/>
        </w:rPr>
      </w:pPr>
    </w:p>
    <w:p w14:paraId="5EE1215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8.8 公网访问实现</w:t>
      </w:r>
    </w:p>
    <w:p w14:paraId="6E4C1262">
      <w:p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2937"/>
          <w:sz w:val="24"/>
        </w:rPr>
        <w:t>系统默认运行于本机127.0.0.1:5000，仅本机可以访问。为了支持异地访问并保证演示网址保持不变，项目使用ngrok固定域名，将本地Flask端口映射为公网HTTPS地址。公网请求经过ngrok隧道转发到本地服务，SQL Server仍只在本机运行，不直接暴露数据库端口。</w:t>
      </w:r>
    </w:p>
    <w:p w14:paraId="7B6B8D10">
      <w:pPr>
        <w:spacing w:line="360" w:lineRule="auto"/>
        <w:ind w:left="420" w:hanging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2937"/>
          <w:sz w:val="24"/>
        </w:rPr>
        <w:t>1. 启动SQL Server与Flask服务，确认本地接口可以正常访问。</w:t>
      </w:r>
    </w:p>
    <w:p w14:paraId="79BB6798">
      <w:pPr>
        <w:spacing w:line="360" w:lineRule="auto"/>
        <w:ind w:left="420" w:hanging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2937"/>
          <w:sz w:val="24"/>
        </w:rPr>
        <w:t>2. 运行启动公网分享脚本，脚本自动检查并启动Flask，再使用账户固定ngrok域名建立HTTPS隧道。</w:t>
      </w:r>
    </w:p>
    <w:p w14:paraId="5057D791">
      <w:pPr>
        <w:spacing w:line="360" w:lineRule="auto"/>
        <w:ind w:left="420" w:hanging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2937"/>
          <w:sz w:val="24"/>
        </w:rPr>
        <w:t>3. 将生成的trycloudflare.com地址提供给访问者。</w:t>
      </w:r>
    </w:p>
    <w:p w14:paraId="0F2734A5">
      <w:pPr>
        <w:spacing w:line="360" w:lineRule="auto"/>
        <w:ind w:left="420" w:hanging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2937"/>
          <w:sz w:val="24"/>
        </w:rPr>
        <w:t>4. 关闭ngrok进程或电脑断网后，固定网址暂时无法访问；重新启动脚本后恢复，网址保持不变。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5CF54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EAF5F1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75AF700B">
            <w:pPr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2B8F77"/>
                <w:sz w:val="22"/>
              </w:rPr>
              <w:t>安全说明：</w:t>
            </w:r>
            <w:r>
              <w:rPr>
                <w:rFonts w:hint="eastAsia" w:ascii="宋体" w:hAnsi="宋体" w:eastAsia="宋体" w:cs="宋体"/>
                <w:color w:val="1F2937"/>
                <w:sz w:val="22"/>
              </w:rPr>
              <w:t>公网访问仅公开Flask Web端口，不公开SQL Server端口；后端继续执行只读SQL校验和按IP请求频率限制。</w:t>
            </w:r>
          </w:p>
        </w:tc>
      </w:tr>
    </w:tbl>
    <w:p w14:paraId="5EE9B797">
      <w:pPr>
        <w:spacing w:after="0"/>
        <w:rPr>
          <w:rFonts w:hint="eastAsia" w:ascii="宋体" w:hAnsi="宋体" w:eastAsia="宋体" w:cs="宋体"/>
        </w:rPr>
      </w:pPr>
    </w:p>
    <w:p w14:paraId="732421E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8.9 测试与验证</w:t>
      </w:r>
    </w:p>
    <w:p w14:paraId="67FF4D27">
      <w:p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2937"/>
          <w:sz w:val="24"/>
        </w:rPr>
        <w:t>系统开发完成后，对数据库连接、自然语言查询、安全拦截、统计详情和公网访问进行了验证。测试结果表明，核心功能能够稳定运行。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E0B9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D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94000C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F2937"/>
                <w:sz w:val="21"/>
              </w:rPr>
              <w:t>测试项目</w:t>
            </w:r>
          </w:p>
        </w:tc>
        <w:tc>
          <w:tcPr>
            <w:tcW w:w="4819" w:type="dxa"/>
            <w:shd w:val="clear" w:color="auto" w:fill="DD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9F0FF1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F2937"/>
                <w:sz w:val="21"/>
              </w:rPr>
              <w:t>测试内容</w:t>
            </w:r>
          </w:p>
        </w:tc>
        <w:tc>
          <w:tcPr>
            <w:tcW w:w="2438" w:type="dxa"/>
            <w:shd w:val="clear" w:color="auto" w:fill="DDEF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26655">
            <w:pPr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F2937"/>
                <w:sz w:val="21"/>
              </w:rPr>
              <w:t>结果</w:t>
            </w:r>
          </w:p>
        </w:tc>
      </w:tr>
      <w:tr w14:paraId="3EFC8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88995A">
            <w:pPr>
              <w:spacing w:after="0"/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数据库连接</w:t>
            </w:r>
          </w:p>
        </w:tc>
        <w:tc>
          <w:tcPr>
            <w:tcW w:w="4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701A55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访问/api/test_db并获取Subsidy_system名称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B0C285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通过</w:t>
            </w:r>
          </w:p>
        </w:tc>
      </w:tr>
      <w:tr w14:paraId="50837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879380">
            <w:pPr>
              <w:spacing w:after="0"/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高风险预警查询</w:t>
            </w:r>
          </w:p>
        </w:tc>
        <w:tc>
          <w:tcPr>
            <w:tcW w:w="4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A6BC4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自然语言“查询所有高风险异常预警”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ACF41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生成RiskLevel=N'高'并返回记录</w:t>
            </w:r>
          </w:p>
        </w:tc>
      </w:tr>
      <w:tr w14:paraId="4CF2F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81731">
            <w:pPr>
              <w:spacing w:after="0"/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统计详情</w:t>
            </w:r>
          </w:p>
        </w:tc>
        <w:tc>
          <w:tcPr>
            <w:tcW w:w="4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BAEA5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依次访问五类/api/stat_detail接口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BCEBD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均返回图表数据和明细</w:t>
            </w:r>
          </w:p>
        </w:tc>
      </w:tr>
      <w:tr w14:paraId="133FC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308488">
            <w:pPr>
              <w:spacing w:after="0"/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SQL安全校验</w:t>
            </w:r>
          </w:p>
        </w:tc>
        <w:tc>
          <w:tcPr>
            <w:tcW w:w="4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FB2E77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尝试包含DELETE、DROP等关键字的SQL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D670E6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拒绝执行</w:t>
            </w:r>
          </w:p>
        </w:tc>
      </w:tr>
      <w:tr w14:paraId="7B72B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957636">
            <w:pPr>
              <w:spacing w:after="0"/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公网访问</w:t>
            </w:r>
          </w:p>
        </w:tc>
        <w:tc>
          <w:tcPr>
            <w:tcW w:w="4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7DC8FB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通过ngrok固定HTTPS地址访问主页和数据库接口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E83AD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通过</w:t>
            </w:r>
          </w:p>
        </w:tc>
      </w:tr>
      <w:tr w14:paraId="0828B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9D2B0E">
            <w:pPr>
              <w:spacing w:after="0"/>
              <w:ind w:firstLine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页面交互</w:t>
            </w:r>
          </w:p>
        </w:tc>
        <w:tc>
          <w:tcPr>
            <w:tcW w:w="4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CFC102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点击统计卡片、示例问题、复制SQL和关闭弹窗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61EBD2">
            <w:pPr>
              <w:spacing w:after="0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2937"/>
                <w:sz w:val="21"/>
              </w:rPr>
              <w:t>功能正常</w:t>
            </w:r>
          </w:p>
        </w:tc>
      </w:tr>
    </w:tbl>
    <w:p w14:paraId="19C4DA65">
      <w:pPr>
        <w:spacing w:after="0"/>
        <w:rPr>
          <w:rFonts w:hint="eastAsia" w:ascii="宋体" w:hAnsi="宋体" w:eastAsia="宋体" w:cs="宋体"/>
        </w:rPr>
      </w:pPr>
    </w:p>
    <w:p w14:paraId="483601C5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8.10 系统特点与后续优化</w:t>
      </w:r>
    </w:p>
    <w:p w14:paraId="35A1BC79">
      <w:p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2937"/>
          <w:sz w:val="24"/>
        </w:rPr>
        <w:t>本系统将关系数据库、Web交互和大语言模型能力结合，实现了从自然语言问题到可核验数据结果的完整链路。其主要特点包括：</w:t>
      </w:r>
    </w:p>
    <w:p w14:paraId="165507BD">
      <w:pPr>
        <w:pStyle w:val="16"/>
        <w:spacing w:line="360" w:lineRule="auto"/>
        <w:ind w:left="420" w:hanging="19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2937"/>
          <w:sz w:val="24"/>
        </w:rPr>
        <w:t>降低SQL查询门槛，同时保留生成SQL以便核验查询逻辑。</w:t>
      </w:r>
    </w:p>
    <w:p w14:paraId="03AF5D69">
      <w:pPr>
        <w:pStyle w:val="16"/>
        <w:spacing w:line="360" w:lineRule="auto"/>
        <w:ind w:left="420" w:hanging="19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2937"/>
          <w:sz w:val="24"/>
        </w:rPr>
        <w:t>将AI自由问答与固定统计详情结合，兼顾灵活性和稳定性。</w:t>
      </w:r>
    </w:p>
    <w:p w14:paraId="1B0D3866">
      <w:pPr>
        <w:pStyle w:val="16"/>
        <w:spacing w:line="360" w:lineRule="auto"/>
        <w:ind w:left="420" w:hanging="19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2937"/>
          <w:sz w:val="24"/>
        </w:rPr>
        <w:t>使用真实数据库枚举值约束和SQL归一化，提高模型查询准确率。</w:t>
      </w:r>
    </w:p>
    <w:p w14:paraId="73C82BD0">
      <w:pPr>
        <w:pStyle w:val="16"/>
        <w:spacing w:line="360" w:lineRule="auto"/>
        <w:ind w:left="420" w:hanging="19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2937"/>
          <w:sz w:val="24"/>
        </w:rPr>
        <w:t>通过只读安全校验、请求频率限制和数据库端口隔离增强安全性。</w:t>
      </w:r>
    </w:p>
    <w:p w14:paraId="55A09BAF">
      <w:pPr>
        <w:pStyle w:val="16"/>
        <w:spacing w:line="360" w:lineRule="auto"/>
        <w:ind w:left="420" w:hanging="19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2937"/>
          <w:sz w:val="24"/>
        </w:rPr>
        <w:t>支持本地与公网两种访问方式，便于不同网络环境下使用。</w:t>
      </w:r>
    </w:p>
    <w:p w14:paraId="6A32DD50">
      <w:p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2937"/>
          <w:sz w:val="24"/>
        </w:rPr>
        <w:t>后续可进一步增加用户登录与权限管理、对话上下文、多轮追问、查询历史、SQL执行计划分析、导出Excel或PDF以及更丰富的图表类型。对于正式生产环境，还应使用独立域名和云服务器部署，并将密钥保存在安全的配置管理服务中。</w:t>
      </w:r>
    </w:p>
    <w:p w14:paraId="55CA911B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8.11 本章小结</w:t>
      </w:r>
    </w:p>
    <w:p w14:paraId="5B6C5B45">
      <w:p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2937"/>
          <w:sz w:val="24"/>
        </w:rPr>
        <w:t>本章完成了银发食堂助餐补贴监管系统AI智能问答与Web交互模块的设计和实现。系统以SQL Server业务数据为基础，通过DeepSeek实现自然语言转SQL和结果解读，以Flask提供安全的查询接口，并通过浅色Web工作台展示统计指标、可视化分布和明细记录。该模块增强了数据库系统的易用性、数据理解能力与远程访问能力，为老人助餐补贴监管提供了更加便捷的数据分析入口。</w:t>
      </w:r>
    </w:p>
    <w:p>
      <w:r>
        <w:br w:type="page"/>
      </w:r>
    </w:p>
    <w:p>
      <w:pPr>
        <w:pStyle w:val="4"/>
      </w:pPr>
      <w:r>
        <w:t>附录A 数据库复刻与运行注意事项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项目实际采用“建表、创建触发器、清除建表初始数据、导入完整数据”的数据库部署过程。为确保其他使用者能够稳定复刻，当前版本已将清空初始数据、临时停用触发器和导入后核验等操作整合到完整数据导出脚本中。</w:t>
      </w:r>
    </w:p>
    <w:p>
      <w:pPr>
        <w:pStyle w:val="5"/>
      </w:pPr>
      <w:r>
        <w:t>A.1 标准复刻步骤</w:t>
      </w:r>
    </w:p>
    <w:p>
      <w:pPr>
        <w:spacing w:line="360" w:lineRule="auto"/>
        <w:ind w:left="480" w:hanging="480"/>
      </w:pPr>
      <w:r>
        <w:rPr>
          <w:rFonts w:ascii="Times New Roman" w:hAnsi="Times New Roman" w:eastAsia="宋体"/>
          <w:b w:val="0"/>
          <w:sz w:val="24"/>
        </w:rPr>
        <w:t>1. 在SQL Server中创建名为Subsidy_system的空数据库。</w:t>
      </w:r>
    </w:p>
    <w:p>
      <w:pPr>
        <w:spacing w:line="360" w:lineRule="auto"/>
        <w:ind w:left="480" w:hanging="480"/>
      </w:pPr>
      <w:r>
        <w:rPr>
          <w:rFonts w:ascii="Times New Roman" w:hAnsi="Times New Roman" w:eastAsia="宋体"/>
          <w:b w:val="0"/>
          <w:sz w:val="24"/>
        </w:rPr>
        <w:t>2. 执行建表.sql。该脚本会重建业务表，并插入少量用于验证结构的初始数据。</w:t>
      </w:r>
    </w:p>
    <w:p>
      <w:pPr>
        <w:spacing w:line="360" w:lineRule="auto"/>
        <w:ind w:left="480" w:hanging="480"/>
      </w:pPr>
      <w:r>
        <w:rPr>
          <w:rFonts w:ascii="Times New Roman" w:hAnsi="Times New Roman" w:eastAsia="宋体"/>
          <w:b w:val="0"/>
          <w:sz w:val="24"/>
        </w:rPr>
        <w:t>3. 执行触发器代码.sql，创建或更新补贴计算、异常预警、状态联动和审计触发器。</w:t>
      </w:r>
    </w:p>
    <w:p>
      <w:pPr>
        <w:spacing w:line="360" w:lineRule="auto"/>
        <w:ind w:left="480" w:hanging="480"/>
      </w:pPr>
      <w:r>
        <w:rPr>
          <w:rFonts w:ascii="Times New Roman" w:hAnsi="Times New Roman" w:eastAsia="宋体"/>
          <w:b w:val="0"/>
          <w:sz w:val="24"/>
        </w:rPr>
        <w:t>4. 执行完整数据导出.sql。脚本会自动在事务中停用触发器、按外键顺序清空初始数据、导入最终数据、重新启用触发器并输出核验结果。</w:t>
      </w:r>
    </w:p>
    <w:p>
      <w:pPr>
        <w:spacing w:line="360" w:lineRule="auto"/>
        <w:ind w:left="480" w:hanging="480"/>
      </w:pPr>
      <w:r>
        <w:rPr>
          <w:rFonts w:ascii="Times New Roman" w:hAnsi="Times New Roman" w:eastAsia="宋体"/>
          <w:b w:val="0"/>
          <w:sz w:val="24"/>
        </w:rPr>
        <w:t>5. 配置.env中的SQL Server连接信息，启动app.py，并访问/api/test_db检查连接。</w:t>
      </w:r>
    </w:p>
    <w:p>
      <w:pPr>
        <w:pStyle w:val="5"/>
      </w:pPr>
      <w:r>
        <w:t>A.2 为什么导入时需要临时停用触发器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完整数据导出文件保存的是已经计算完成的历史数据快照，其中包含补贴金额、实付金额、结算状态和异常预警。如果导入历史就餐记录时触发器保持运行，系统会再次计算补贴、统一修改结算状态，并可能生成额外预警，从而导致复刻后的数据与原项目不一致。因此完整数据脚本在导入期间临时停用触发器，导入完成后再恢复正常业务规则。</w:t>
      </w:r>
    </w:p>
    <w:p>
      <w:pPr>
        <w:pStyle w:val="5"/>
      </w:pPr>
      <w:r>
        <w:t>A.3 导入后核验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核验项目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正确结果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Elderly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50条，其中正常账户45条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DiningPoint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5条，均为正常运营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SubsidyRule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4条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SubsidyQualification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50条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DiningRecord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2363条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SettlementSheet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45条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AbnormalWarning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24条，其中待处理或处理中14条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累计补贴金额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18136.60元</w:t>
            </w:r>
          </w:p>
        </w:tc>
      </w:tr>
    </w:tbl>
    <w:p>
      <w:pPr>
        <w:pStyle w:val="5"/>
      </w:pPr>
      <w:r>
        <w:t>A.4 使用注意事项</w:t>
      </w:r>
    </w:p>
    <w:p>
      <w:pPr>
        <w:spacing w:line="360" w:lineRule="auto"/>
        <w:ind w:left="480" w:hanging="480"/>
      </w:pPr>
      <w:r>
        <w:rPr>
          <w:rFonts w:ascii="Times New Roman" w:hAnsi="Times New Roman" w:eastAsia="宋体"/>
          <w:b w:val="0"/>
          <w:sz w:val="24"/>
        </w:rPr>
        <w:t>1. 完整数据导出.sql会覆盖八张业务表中的现有数据，执行前必须备份需要保留的数据。</w:t>
      </w:r>
    </w:p>
    <w:p>
      <w:pPr>
        <w:spacing w:line="360" w:lineRule="auto"/>
        <w:ind w:left="480" w:hanging="480"/>
      </w:pPr>
      <w:r>
        <w:rPr>
          <w:rFonts w:ascii="Times New Roman" w:hAnsi="Times New Roman" w:eastAsia="宋体"/>
          <w:b w:val="0"/>
          <w:sz w:val="24"/>
        </w:rPr>
        <w:t>2. 三个脚本必须严格按照建表.sql、触发器代码.sql、完整数据导出.sql的顺序执行。</w:t>
      </w:r>
    </w:p>
    <w:p>
      <w:pPr>
        <w:spacing w:line="360" w:lineRule="auto"/>
        <w:ind w:left="480" w:hanging="480"/>
      </w:pPr>
      <w:r>
        <w:rPr>
          <w:rFonts w:ascii="Times New Roman" w:hAnsi="Times New Roman" w:eastAsia="宋体"/>
          <w:b w:val="0"/>
          <w:sz w:val="24"/>
        </w:rPr>
        <w:t>3. 完整数据脚本使用事务，出现错误时会自动回滚；不要在执行过程中强制关闭SSMS。</w:t>
      </w:r>
    </w:p>
    <w:p>
      <w:pPr>
        <w:spacing w:line="360" w:lineRule="auto"/>
        <w:ind w:left="480" w:hanging="480"/>
      </w:pPr>
      <w:r>
        <w:rPr>
          <w:rFonts w:ascii="Times New Roman" w:hAnsi="Times New Roman" w:eastAsia="宋体"/>
          <w:b w:val="0"/>
          <w:sz w:val="24"/>
        </w:rPr>
        <w:t>4. 完整数据导入完成后触发器会重新启用，之后新增就餐记录时会正常计算补贴并生成预警。</w:t>
      </w:r>
    </w:p>
    <w:p>
      <w:pPr>
        <w:spacing w:line="360" w:lineRule="auto"/>
        <w:ind w:left="480" w:hanging="480"/>
      </w:pPr>
      <w:r>
        <w:rPr>
          <w:rFonts w:ascii="Times New Roman" w:hAnsi="Times New Roman" w:eastAsia="宋体"/>
          <w:b w:val="0"/>
          <w:sz w:val="24"/>
        </w:rPr>
        <w:t>5. 数据库名称与.env中的DB_NAME必须均为Subsidy_system，中文SQL文件应保持UTF-8编码。</w:t>
      </w:r>
    </w:p>
    <w:p>
      <w:pPr>
        <w:spacing w:line="360" w:lineRule="auto"/>
        <w:ind w:left="480" w:hanging="480"/>
      </w:pPr>
      <w:r>
        <w:rPr>
          <w:rFonts w:ascii="Times New Roman" w:hAnsi="Times New Roman" w:eastAsia="宋体"/>
          <w:b w:val="0"/>
          <w:sz w:val="24"/>
        </w:rPr>
        <w:t>6. 页面中的待处理预警包含“待处理”和“处理中”两种状态，因此数值14小于预警总数24。</w:t>
      </w:r>
    </w:p>
    <w:sectPr>
      <w:headerReference r:id="rId5" w:type="default"/>
      <w:footerReference r:id="rId6" w:type="default"/>
      <w:pgSz w:w="11906" w:h="16838"/>
      <w:pgMar w:top="1440" w:right="1417" w:bottom="1440" w:left="1417" w:header="709" w:footer="70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1D3301">
    <w:pPr>
      <w:pStyle w:val="24"/>
      <w:ind w:firstLine="0"/>
      <w:jc w:val="center"/>
    </w:pPr>
    <w:r>
      <w:rPr>
        <w:rFonts w:ascii="Times New Roman" w:hAnsi="Times New Roman" w:eastAsia="宋体"/>
        <w:color w:val="5D716C"/>
        <w:sz w:val="18"/>
      </w:rPr>
      <w:t>AI智能问答与Web交互系统设计与实现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DF98DF">
    <w:pPr>
      <w:pStyle w:val="25"/>
      <w:ind w:firstLine="0"/>
      <w:jc w:val="center"/>
    </w:pPr>
    <w:r>
      <w:rPr>
        <w:rFonts w:ascii="Times New Roman" w:hAnsi="Times New Roman" w:eastAsia="宋体"/>
        <w:color w:val="5D716C"/>
        <w:sz w:val="18"/>
      </w:rPr>
      <w:t>银发食堂助餐补贴监管系统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F7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  <w:ind w:firstLine="480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320"/>
      <w:ind w:firstLine="0"/>
      <w:jc w:val="center"/>
      <w:outlineLvl w:val="0"/>
    </w:pPr>
    <w:rPr>
      <w:rFonts w:asciiTheme="majorHAnsi" w:hAnsiTheme="majorHAnsi" w:eastAsiaTheme="majorEastAsia" w:cstheme="majorBidi"/>
      <w:b/>
      <w:bCs/>
      <w:color w:val="1F2937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60"/>
      <w:ind w:firstLine="0"/>
      <w:outlineLvl w:val="1"/>
    </w:pPr>
    <w:rPr>
      <w:rFonts w:asciiTheme="majorHAnsi" w:hAnsiTheme="majorHAnsi" w:eastAsiaTheme="majorEastAsia" w:cstheme="majorBidi"/>
      <w:b/>
      <w:bCs/>
      <w:color w:val="1F2937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/>
      <w:ind w:firstLine="0"/>
      <w:outlineLvl w:val="2"/>
    </w:pPr>
    <w:rPr>
      <w:rFonts w:asciiTheme="majorHAnsi" w:hAnsiTheme="majorHAnsi" w:eastAsiaTheme="majorEastAsia" w:cstheme="majorBidi"/>
      <w:b/>
      <w:bCs/>
      <w:color w:val="1F2937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图表标题"/>
    <w:uiPriority w:val="0"/>
    <w:pPr>
      <w:spacing w:before="80" w:after="160" w:line="276" w:lineRule="auto"/>
      <w:ind w:firstLine="0"/>
      <w:jc w:val="center"/>
    </w:pPr>
    <w:rPr>
      <w:rFonts w:ascii="Times New Roman" w:hAnsi="Times New Roman" w:eastAsia="宋体" w:cstheme="minorBidi"/>
      <w:color w:val="5D716C"/>
      <w:sz w:val="21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1082</Words>
  <Characters>1529</Characters>
  <Lines>0</Lines>
  <Paragraphs>0</Paragraphs>
  <TotalTime>0</TotalTime>
  <ScaleCrop>false</ScaleCrop>
  <LinksUpToDate>false</LinksUpToDate>
  <CharactersWithSpaces>1555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数据库设计小组</dc:creator>
  <dc:description>generated by python-docx</dc:description>
  <cp:lastModifiedBy>Crystal Wu</cp:lastModifiedBy>
  <dcterms:modified xsi:type="dcterms:W3CDTF">2026-06-05T17:36:03Z</dcterms:modified>
  <dc:subject>银发食堂助餐补贴监管系统</dc:subject>
  <dc:title>第8章 AI智能问答与Web交互系统设计与实现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eyJoZGlkIjoiYWRiZmVjNGI5ODc3NTkyZjIwZmIyOWU2YzZjNWUwNWEiLCJ1c2VySWQiOiIyNDc3NTI1MjYifQ==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434D983B2E0B4BDF8159CFEEE9893583_12</vt:lpwstr>
  </property>
</Properties>
</file>