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3294B"/>
          <w:sz w:val="28"/>
        </w:rPr>
        <w:t>TerAustralis Incognita — Current Status Brief</w:t>
      </w:r>
    </w:p>
    <w:p>
      <w:pPr/>
      <w:r>
        <w:rPr>
          <w:color w:val="AEBCCD"/>
          <w:sz w:val="18"/>
        </w:rPr>
        <w:t>For: Sam Maher, GovTechAu</w:t>
      </w:r>
    </w:p>
    <w:p>
      <w:pPr/>
      <w:r>
        <w:rPr>
          <w:color w:val="AEBCCD"/>
          <w:sz w:val="18"/>
        </w:rPr>
        <w:t>Date: 19 June 2026</w:t>
      </w:r>
    </w:p>
    <w:p>
      <w:r>
        <w:rPr>
          <w:color w:val="AEBCC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3294B"/>
          <w:sz w:val="22"/>
        </w:rPr>
        <w:t>CURRENT STATUS</w:t>
      </w:r>
    </w:p>
    <w:p>
      <w:pPr>
        <w:spacing w:after="120"/>
      </w:pPr>
      <w:r>
        <w:t>TerAustralis Incognita is a Sydney-based coordination layer (ABN 70 741 068 059) focused on regulatory and stakeholder navigation for large-scale space infrastructure in Australia.</w:t>
      </w:r>
    </w:p>
    <w:p>
      <w:pPr>
        <w:spacing w:after="120"/>
      </w:pPr>
      <w:r>
        <w:t>Published proof point: SpaceNews op-ed (May 2026) on leveraging AUKUS and southern geography for dual-use space infrastructure. Currently mapping the regulatory and policy pathway to enable Starship recovery, refurbishment, and critical minerals integration in the Pilbara region.</w:t>
      </w:r>
    </w:p>
    <w:p>
      <w:pPr>
        <w:spacing w:after="240"/>
      </w:pPr>
      <w:r>
        <w:t>Early-stage: we have the strategic framing, site-specific feasibility scopes, and Indigenous partnership principles drafted. We do not have government buy-in, formal agreements, or regulatory clearance. We are pre-decision.</w:t>
      </w:r>
    </w:p>
    <w:p>
      <w:r>
        <w:rPr>
          <w:b/>
          <w:color w:val="13294B"/>
          <w:sz w:val="22"/>
        </w:rPr>
        <w:t>SPECIFIC CAPABILITY WE'RE SEEKING TO ESTABLISH</w:t>
      </w:r>
    </w:p>
    <w:p>
      <w:pPr>
        <w:spacing w:after="120"/>
      </w:pPr>
      <w:r>
        <w:t>A formal regulatory and stakeholder coordination pathway that:</w:t>
      </w:r>
    </w:p>
    <w:p>
      <w:pPr>
        <w:pStyle w:val="ListBullet"/>
        <w:spacing w:after="80"/>
        <w:ind w:left="360"/>
      </w:pPr>
      <w:r>
        <w:t>Maps the actual (not theoretical) federal and state decision-makers and approval bodies needed for Starship recovery operations in Dampier/Karratha.</w:t>
      </w:r>
    </w:p>
    <w:p>
      <w:pPr>
        <w:pStyle w:val="ListBullet"/>
        <w:spacing w:after="80"/>
        <w:ind w:left="360"/>
      </w:pPr>
      <w:r>
        <w:t>Identifies the specific regulatory instruments (ASIC, Defence/ITAR, environmental, state planning, port authority) and their current status relative to commercial space recovery infrastructure.</w:t>
      </w:r>
    </w:p>
    <w:p>
      <w:pPr>
        <w:pStyle w:val="ListBullet"/>
        <w:spacing w:after="80"/>
        <w:ind w:left="360"/>
      </w:pPr>
      <w:r>
        <w:t>Establishes a governance structure for Indigenous partnership that meets FPIC standards and is defensible to both Traditional Owners and federal/state regulators.</w:t>
      </w:r>
    </w:p>
    <w:p>
      <w:pPr>
        <w:pStyle w:val="ListBullet"/>
        <w:spacing w:after="80"/>
        <w:ind w:left="360"/>
      </w:pPr>
      <w:r>
        <w:t>Creates a bridge between government, industry (SpaceX, Gilmour Space, minerals sector), and defence/AUKUS stakeholders so the technical teams can focus on building without navigating regulatory friction.</w:t>
      </w:r>
    </w:p>
    <w:p>
      <w:pPr>
        <w:spacing w:before="160" w:after="240"/>
      </w:pPr>
      <w:r>
        <w:t>We are not trying to be the prime mover or operator. We are trying to be the coordination layer that removes specific, named obstacles.</w:t>
      </w:r>
    </w:p>
    <w:p>
      <w:r>
        <w:rPr>
          <w:b/>
          <w:color w:val="13294B"/>
          <w:sz w:val="22"/>
        </w:rPr>
        <w:t>DECISIONS / APPROVALS WE THINK ARE NEEDED</w:t>
      </w:r>
    </w:p>
    <w:p>
      <w:pPr>
        <w:spacing w:after="160"/>
      </w:pPr>
      <w:r>
        <w:t>(In sequence, not parallel)</w:t>
      </w:r>
    </w:p>
    <w:p>
      <w:r>
        <w:rPr>
          <w:i/>
          <w:sz w:val="20"/>
        </w:rPr>
        <w:t>MONTH 1–2 (July–August):</w:t>
      </w:r>
    </w:p>
    <w:p>
      <w:pPr>
        <w:pStyle w:val="ListBullet"/>
        <w:spacing w:after="80"/>
        <w:ind w:left="360"/>
      </w:pPr>
      <w:r>
        <w:t>☐ Formal feasibility assessment co-sponsored by Australian Space Agency and state government (WA or QLD depending on site). This legitimizes the project and signals intent.</w:t>
      </w:r>
    </w:p>
    <w:p>
      <w:pPr>
        <w:pStyle w:val="ListBullet"/>
        <w:spacing w:after="80"/>
        <w:ind w:left="360"/>
      </w:pPr>
      <w:r>
        <w:t>☐ Indigenous consultation framework endorsed by Traditional Owner representatives before any site engineering begins. (Ngarluma/Yindjibarndi for Dampier; Juru for Bowen.)</w:t>
      </w:r>
    </w:p>
    <w:p>
      <w:pPr>
        <w:spacing w:before="120"/>
      </w:pPr>
      <w:r>
        <w:rPr>
          <w:i/>
          <w:sz w:val="20"/>
        </w:rPr>
        <w:t>MONTH 3–6 (September–November):</w:t>
      </w:r>
    </w:p>
    <w:p>
      <w:pPr>
        <w:pStyle w:val="ListBullet"/>
        <w:spacing w:after="80"/>
        <w:ind w:left="360"/>
      </w:pPr>
      <w:r>
        <w:t>☐ AUKUS Pillar 2 alignment memo from Defence/government acknowledging space infrastructure as dual-use strategic asset. This is the political cover for moving forward.</w:t>
      </w:r>
    </w:p>
    <w:p>
      <w:pPr>
        <w:pStyle w:val="ListBullet"/>
        <w:spacing w:after="80"/>
        <w:ind w:left="360"/>
      </w:pPr>
      <w:r>
        <w:t>☐ State-level agreement in principle from WA Government (or QLD) for port/site access, environmental assessment scope, and Indigenous partnership framework.</w:t>
      </w:r>
    </w:p>
    <w:p>
      <w:pPr>
        <w:spacing w:before="120"/>
      </w:pPr>
      <w:r>
        <w:rPr>
          <w:i/>
          <w:sz w:val="20"/>
        </w:rPr>
        <w:t>MONTH 6–12 (December 2026 onwards):</w:t>
      </w:r>
    </w:p>
    <w:p>
      <w:pPr>
        <w:pStyle w:val="ListBullet"/>
        <w:spacing w:after="80"/>
        <w:ind w:left="360"/>
      </w:pPr>
      <w:r>
        <w:t>☐ Regulatory clarification from ASIC/Space Agency on commercial recovery permits and liability frameworks for ocean splashdown recovery.</w:t>
      </w:r>
    </w:p>
    <w:p>
      <w:pPr>
        <w:pStyle w:val="ListBullet"/>
        <w:spacing w:after="80"/>
        <w:ind w:left="360"/>
      </w:pPr>
      <w:r>
        <w:t>☐ ITAR/technology safeguards agreement confirmation that US–Australia partnership (Starship recovery) is within scope of existing frameworks.</w:t>
      </w:r>
    </w:p>
    <w:p>
      <w:pPr>
        <w:spacing w:after="240"/>
      </w:pPr>
    </w:p>
    <w:p>
      <w:r>
        <w:rPr>
          <w:b/>
          <w:color w:val="13294B"/>
          <w:sz w:val="22"/>
        </w:rPr>
        <w:t>WHERE WE'RE CURRENTLY BLOCKED</w:t>
      </w:r>
    </w:p>
    <w:p>
      <w:pPr>
        <w:spacing w:after="160"/>
      </w:pPr>
      <w:r>
        <w:t>(And where we think you can help)</w:t>
      </w:r>
    </w:p>
    <w:p>
      <w:r>
        <w:rPr>
          <w:b/>
          <w:sz w:val="20"/>
        </w:rPr>
        <w:t>BLOCK 1: Government entry point</w:t>
      </w:r>
    </w:p>
    <w:p>
      <w:pPr>
        <w:spacing w:after="80"/>
      </w:pPr>
      <w:r>
        <w:t>We have op-ed credibility, site-specific analysis, and early traction with industry: we've engaged with Gilmour Space (Brisbane), Hancock Prospecting (Pilbara), and the METS Space Cluster. We do not have a named contact inside federal government (Space Agency, Defence, DFAT) who has read our material and wants to move it forward. Gina Rinehart has publicly called for Australia-SpaceX alignment; we need government to recognize this as the opportunity it is and move at the same pace as private sector momentum in the Pilbara.</w:t>
      </w:r>
    </w:p>
    <w:p>
      <w:pPr>
        <w:spacing w:after="200"/>
        <w:ind w:left="360"/>
      </w:pPr>
      <w:r>
        <w:rPr>
          <w:i/>
        </w:rPr>
        <w:t>YOUR INPUT: Who is the right federal stakeholder (Space Agency, Defence, DFAT, or state equivalent) to brief on the AUKUS/dual-use framing? Who understands that Gina's position on SpaceX investment + Pilbara assets = strategic advantage? And what would unlock a conversation with them?</w:t>
      </w:r>
    </w:p>
    <w:p>
      <w:r>
        <w:rPr>
          <w:b/>
          <w:sz w:val="20"/>
        </w:rPr>
        <w:t>BLOCK 2: Regulatory map</w:t>
      </w:r>
    </w:p>
    <w:p>
      <w:pPr>
        <w:spacing w:after="80"/>
      </w:pPr>
      <w:r>
        <w:t>We have fragments: Space (Launches and Returns) Act 2018, COPUOS guidelines, emerging STM norms. We don't have a current, authoritative map of which Australian regulator owns which decision for a Starship recovery operation. ITAR requirements. Port authority approvals. Environmental assessment triggers.</w:t>
      </w:r>
    </w:p>
    <w:p>
      <w:pPr>
        <w:spacing w:after="200"/>
        <w:ind w:left="360"/>
      </w:pPr>
      <w:r>
        <w:rPr>
          <w:i/>
        </w:rPr>
        <w:t>YOUR INPUT: Is there an existing government-maintained regulatory decision tree for commercial space recovery in Australia? If not, who would maintain it? ASA? Attorney-General's?</w:t>
      </w:r>
    </w:p>
    <w:p>
      <w:r>
        <w:rPr>
          <w:b/>
          <w:sz w:val="20"/>
        </w:rPr>
        <w:t>BLOCK 3: Indigenous partnership legitimacy</w:t>
      </w:r>
    </w:p>
    <w:p>
      <w:pPr>
        <w:spacing w:after="80"/>
      </w:pPr>
      <w:r>
        <w:t>We have principles (FPIC, self-determination, benefit-sharing, governance representation). We don't have sitting relationships with Ngarluma/Yindjibarndi or Juru representatives, and we don't have a government-endorsed process for how to do this without it becoming performative or tokenizing.</w:t>
      </w:r>
    </w:p>
    <w:p>
      <w:pPr>
        <w:spacing w:after="200"/>
        <w:ind w:left="360"/>
      </w:pPr>
      <w:r>
        <w:rPr>
          <w:i/>
        </w:rPr>
        <w:t>YOUR INPUT: What is the current best practice for government-sanctioned Indigenous partnership in major infrastructure projects? Who do we approach, and in what sequence?</w:t>
      </w:r>
    </w:p>
    <w:p>
      <w:r>
        <w:rPr>
          <w:b/>
          <w:sz w:val="20"/>
        </w:rPr>
        <w:t>BLOCK 4: AUKUS positioning</w:t>
      </w:r>
    </w:p>
    <w:p>
      <w:pPr>
        <w:spacing w:after="80"/>
      </w:pPr>
      <w:r>
        <w:t>We have the logic: southern hemisphere redundancy, allied supply chain, strategic resilience. We don't have language or a sponsor inside the AUKUS conversation that would make a space infrastructure project feel like a natural fit, rather than something we're forcing into a defence framework.</w:t>
      </w:r>
    </w:p>
    <w:p>
      <w:pPr>
        <w:spacing w:after="240"/>
        <w:ind w:left="360"/>
      </w:pPr>
      <w:r>
        <w:rPr>
          <w:i/>
        </w:rPr>
        <w:t>YOUR INPUT: How is AUKUS Pillar 2 currently being scoped? Is there existing conversation about space dual-use capability? If so, who's driving it?</w:t>
      </w:r>
    </w:p>
    <w:p>
      <w:r>
        <w:rPr>
          <w:b/>
          <w:color w:val="13294B"/>
          <w:sz w:val="22"/>
        </w:rPr>
        <w:t>WHAT WE'D LIKE FROM A 20-MINUTE CONVERSATION</w:t>
      </w:r>
    </w:p>
    <w:p>
      <w:pPr>
        <w:spacing w:after="160"/>
      </w:pPr>
      <w:r>
        <w:t>(In priority order)</w:t>
      </w:r>
    </w:p>
    <w:p>
      <w:pPr>
        <w:pStyle w:val="ListNumber"/>
        <w:spacing w:after="80"/>
      </w:pPr>
      <w:r>
        <w:t>1. Government entry point: a name, a portfolio, or a process we should be aware of.</w:t>
      </w:r>
    </w:p>
    <w:p>
      <w:pPr>
        <w:pStyle w:val="ListNumber"/>
        <w:spacing w:after="80"/>
      </w:pPr>
      <w:r>
        <w:t>2. Confirmation that the regulatory map question is real, or direction to where it's already been solved.</w:t>
      </w:r>
    </w:p>
    <w:p>
      <w:pPr>
        <w:pStyle w:val="ListNumber"/>
        <w:spacing w:after="80"/>
      </w:pPr>
      <w:r>
        <w:t>3. One or two names of people inside government (DFAT, Defence, Space Agency, or state economic development) who have shown appetite for space infrastructure partnerships and might care about AUKUS positioning.</w:t>
      </w:r>
    </w:p>
    <w:p>
      <w:pPr>
        <w:pStyle w:val="ListNumber"/>
        <w:spacing w:after="80"/>
      </w:pPr>
      <w:r>
        <w:t>4. Any red flags we haven't seen yet—regulatory, political, or strategic.</w:t>
      </w:r>
    </w:p>
    <w:p>
      <w:pPr>
        <w:spacing w:before="240"/>
      </w:pPr>
      <w:r>
        <w:rPr>
          <w:color w:val="AEBCC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color w:val="8E5BFF"/>
          <w:sz w:val="18"/>
        </w:rPr>
        <w:t>Crystal Arena-Turner</w:t>
        <w:br/>
        <w:t>Founder, TerAustralis Incognita</w:t>
        <w:br/>
        <w:t>hello@teraustralis.com.au</w:t>
        <w:br/>
        <w:t>@TerAustralis (X)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