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6683C">
      <w:pPr>
        <w:spacing w:line="360" w:lineRule="auto"/>
        <w:jc w:val="center"/>
        <w:rPr>
          <w:rFonts w:hint="eastAsia" w:ascii="微软雅黑" w:hAnsi="微软雅黑" w:eastAsia="微软雅黑"/>
          <w:b/>
          <w:sz w:val="44"/>
          <w:szCs w:val="44"/>
        </w:rPr>
      </w:pPr>
      <w:r>
        <w:rPr>
          <w:rFonts w:hint="eastAsia" w:ascii="微软雅黑" w:hAnsi="微软雅黑" w:eastAsia="微软雅黑"/>
          <w:b/>
          <w:sz w:val="44"/>
          <w:szCs w:val="44"/>
        </w:rPr>
        <w:t>编程作业3</w:t>
      </w:r>
      <w:r>
        <w:rPr>
          <w:rFonts w:ascii="微软雅黑" w:hAnsi="微软雅黑" w:eastAsia="微软雅黑"/>
          <w:b/>
          <w:sz w:val="44"/>
          <w:szCs w:val="44"/>
        </w:rPr>
        <w:t xml:space="preserve"> </w:t>
      </w:r>
      <w:r>
        <w:rPr>
          <w:rFonts w:hint="eastAsia" w:ascii="微软雅黑" w:hAnsi="微软雅黑" w:eastAsia="微软雅黑"/>
          <w:b/>
          <w:sz w:val="44"/>
          <w:szCs w:val="44"/>
        </w:rPr>
        <w:t>光栅化渲染</w:t>
      </w:r>
      <w:r>
        <w:rPr>
          <w:rFonts w:hint="eastAsia" w:ascii="微软雅黑" w:hAnsi="微软雅黑" w:eastAsia="微软雅黑"/>
          <w:b/>
          <w:sz w:val="44"/>
          <w:szCs w:val="44"/>
          <w:lang w:val="en-US" w:eastAsia="zh-CN"/>
        </w:rPr>
        <w:t>着色</w:t>
      </w:r>
      <w:r>
        <w:rPr>
          <w:rFonts w:hint="eastAsia" w:ascii="微软雅黑" w:hAnsi="微软雅黑" w:eastAsia="微软雅黑"/>
          <w:b/>
          <w:sz w:val="44"/>
          <w:szCs w:val="44"/>
        </w:rPr>
        <w:t>3D场景</w:t>
      </w:r>
    </w:p>
    <w:p w14:paraId="24948C4C">
      <w:pPr>
        <w:spacing w:after="0" w:line="360" w:lineRule="auto"/>
        <w:jc w:val="center"/>
        <w:rPr>
          <w:rFonts w:hint="eastAsia" w:ascii="微软雅黑" w:hAnsi="微软雅黑" w:eastAsia="微软雅黑"/>
          <w:sz w:val="21"/>
          <w:szCs w:val="22"/>
          <w14:ligatures w14:val="none"/>
        </w:rPr>
      </w:pPr>
      <w:r>
        <w:rPr>
          <w:rFonts w:hint="eastAsia" w:ascii="微软雅黑" w:hAnsi="微软雅黑" w:eastAsia="微软雅黑"/>
          <w:sz w:val="21"/>
          <w:szCs w:val="22"/>
          <w14:ligatures w14:val="none"/>
        </w:rPr>
        <w:t>组名：疯狂星期四   组号：第八组</w:t>
      </w:r>
    </w:p>
    <w:p w14:paraId="71D6F6D4">
      <w:pPr>
        <w:spacing w:after="0" w:line="360" w:lineRule="auto"/>
        <w:jc w:val="center"/>
        <w:rPr>
          <w:rFonts w:hint="eastAsia" w:ascii="微软雅黑" w:hAnsi="微软雅黑" w:eastAsia="微软雅黑"/>
          <w:sz w:val="21"/>
          <w:szCs w:val="22"/>
          <w14:ligatures w14:val="none"/>
        </w:rPr>
      </w:pPr>
      <w:r>
        <w:rPr>
          <w:rFonts w:hint="eastAsia" w:ascii="微软雅黑" w:hAnsi="微软雅黑" w:eastAsia="微软雅黑"/>
          <w:sz w:val="21"/>
          <w:szCs w:val="22"/>
          <w14:ligatures w14:val="none"/>
        </w:rPr>
        <w:t>组员1：姓名 袁思涵 学号 2023141461193</w:t>
      </w:r>
    </w:p>
    <w:p w14:paraId="5EC81E32">
      <w:pPr>
        <w:spacing w:after="0" w:line="360" w:lineRule="auto"/>
        <w:jc w:val="center"/>
        <w:rPr>
          <w:rFonts w:hint="eastAsia" w:ascii="微软雅黑" w:hAnsi="微软雅黑" w:eastAsia="微软雅黑"/>
          <w:sz w:val="21"/>
          <w:szCs w:val="22"/>
          <w14:ligatures w14:val="none"/>
        </w:rPr>
      </w:pPr>
      <w:r>
        <w:rPr>
          <w:rFonts w:hint="eastAsia" w:ascii="微软雅黑" w:hAnsi="微软雅黑" w:eastAsia="微软雅黑"/>
          <w:sz w:val="21"/>
          <w:szCs w:val="22"/>
          <w14:ligatures w14:val="none"/>
        </w:rPr>
        <w:t>组员2：姓名 张晓霞 学号 2023141461210</w:t>
      </w:r>
    </w:p>
    <w:p w14:paraId="3E3B55AE">
      <w:pPr>
        <w:spacing w:after="0" w:line="360" w:lineRule="auto"/>
        <w:jc w:val="center"/>
        <w:rPr>
          <w:rFonts w:hint="eastAsia" w:ascii="微软雅黑" w:hAnsi="微软雅黑" w:eastAsia="微软雅黑"/>
          <w:sz w:val="21"/>
          <w:szCs w:val="22"/>
          <w14:ligatures w14:val="none"/>
        </w:rPr>
      </w:pPr>
      <w:r>
        <w:rPr>
          <w:rFonts w:hint="eastAsia" w:ascii="微软雅黑" w:hAnsi="微软雅黑" w:eastAsia="微软雅黑"/>
          <w:sz w:val="21"/>
          <w:szCs w:val="22"/>
          <w14:ligatures w14:val="none"/>
        </w:rPr>
        <w:t>组员3：姓名 范骐俨 学号 2023141461140</w:t>
      </w:r>
    </w:p>
    <w:p w14:paraId="0552D52C">
      <w:pPr>
        <w:spacing w:after="0" w:line="360" w:lineRule="auto"/>
        <w:jc w:val="center"/>
        <w:rPr>
          <w:rFonts w:hint="eastAsia"/>
          <w:b/>
          <w:bCs/>
        </w:rPr>
      </w:pPr>
      <w:r>
        <w:rPr>
          <w:rFonts w:hint="eastAsia" w:ascii="微软雅黑" w:hAnsi="微软雅黑" w:eastAsia="微软雅黑"/>
          <w:sz w:val="21"/>
          <w:szCs w:val="22"/>
          <w14:ligatures w14:val="none"/>
        </w:rPr>
        <w:t>组员4：姓名 白纹菲 学号 2023141461220</w:t>
      </w:r>
    </w:p>
    <w:p w14:paraId="5BDE64BF">
      <w:pPr>
        <w:spacing w:line="360" w:lineRule="auto"/>
        <w:jc w:val="center"/>
        <w:rPr>
          <w:rFonts w:hint="eastAsia" w:ascii="微软雅黑" w:hAnsi="微软雅黑" w:eastAsia="微软雅黑"/>
          <w:b/>
          <w:sz w:val="27"/>
        </w:rPr>
      </w:pPr>
    </w:p>
    <w:p w14:paraId="288706C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32"/>
          <w:szCs w:val="32"/>
          <w:u w:val="none"/>
        </w:rPr>
      </w:pPr>
      <w:r>
        <w:rPr>
          <w:rFonts w:hint="eastAsia" w:ascii="黑体" w:hAnsi="黑体" w:eastAsia="黑体" w:cs="黑体"/>
          <w:sz w:val="32"/>
          <w:szCs w:val="32"/>
          <w:u w:val="none"/>
        </w:rPr>
        <w:t>一、思路</w:t>
      </w:r>
    </w:p>
    <w:p w14:paraId="3F4012E1">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宋体" w:hAnsi="宋体" w:eastAsia="宋体" w:cs="宋体"/>
          <w:u w:val="none"/>
        </w:rPr>
        <w:t>本次实验的主要目标是基于 WebGL 实现完整的 Phong 着色模型，构建具有真实光照效果的三维场景。整个实验分为核心技术实现和增强功能开发两个部分：</w:t>
      </w:r>
    </w:p>
    <w:p w14:paraId="5439F9F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b/>
          <w:bCs/>
          <w:u w:val="none"/>
        </w:rPr>
      </w:pPr>
      <w:r>
        <w:rPr>
          <w:rFonts w:hint="eastAsia" w:ascii="宋体" w:hAnsi="宋体" w:eastAsia="宋体" w:cs="宋体"/>
          <w:b/>
          <w:bCs/>
          <w:u w:val="none"/>
        </w:rPr>
        <w:t>1. 核心渲染管线构建</w:t>
      </w:r>
    </w:p>
    <w:p w14:paraId="26B0CC6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宋体" w:hAnsi="宋体" w:eastAsia="宋体" w:cs="宋体"/>
          <w:u w:val="none"/>
        </w:rPr>
        <w:t>在 WebGL 环境中，我们通过系统化的模块设计实现了完整的图形渲染管线：</w:t>
      </w:r>
    </w:p>
    <w:p w14:paraId="49466CE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光照模型实现：基于经典的 Phong 光照模型，在片段着色器中逐像素计算环境光、漫反射和镜面反射分量，实现真实的光照效果</w:t>
      </w:r>
    </w:p>
    <w:p w14:paraId="37FE95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纹理映射系统：建立完整的纹理加载和管理机制，支持 2D 纹理和立方体贴图，为物体表面添加丰富的视觉细节</w:t>
      </w:r>
    </w:p>
    <w:p w14:paraId="5A7B857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阴影渲染技术：采用 Shadow Mapping 技术实现实时阴影，通过深度贴图生成和比较计算投影关系</w:t>
      </w:r>
    </w:p>
    <w:p w14:paraId="26B1B45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矩阵变换体系：构建完整的模型-视图-投影矩阵变换链，实现三维空间到二维屏幕的正确映射</w:t>
      </w:r>
    </w:p>
    <w:p w14:paraId="2136281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b/>
          <w:bCs/>
          <w:u w:val="none"/>
        </w:rPr>
      </w:pPr>
      <w:r>
        <w:rPr>
          <w:rFonts w:hint="eastAsia" w:ascii="宋体" w:hAnsi="宋体" w:eastAsia="宋体" w:cs="宋体"/>
          <w:b/>
          <w:bCs/>
          <w:u w:val="none"/>
        </w:rPr>
        <w:t>2. 增强功能开发</w:t>
      </w:r>
    </w:p>
    <w:p w14:paraId="13CF8E5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宋体" w:hAnsi="宋体" w:eastAsia="宋体" w:cs="宋体"/>
          <w:u w:val="none"/>
        </w:rPr>
        <w:t>在完成基础要求的基础上，我们实现了三个重要的增强功能：</w:t>
      </w:r>
    </w:p>
    <w:p w14:paraId="573962E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lang w:val="en-US" w:eastAsia="zh-CN"/>
        </w:rPr>
        <w:t>物体</w:t>
      </w:r>
      <w:r>
        <w:rPr>
          <w:rFonts w:hint="eastAsia" w:ascii="宋体" w:hAnsi="宋体" w:eastAsia="宋体" w:cs="宋体"/>
          <w:u w:val="none"/>
        </w:rPr>
        <w:t>半透明效果：通过 Alpha 混合和深度写入控制，实现物体的透明和半透明渲染效果</w:t>
      </w:r>
    </w:p>
    <w:p w14:paraId="1443C38D">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lang w:val="en-US" w:eastAsia="zh-CN"/>
        </w:rPr>
        <w:t>场景</w:t>
      </w:r>
      <w:r>
        <w:rPr>
          <w:rFonts w:hint="eastAsia" w:ascii="宋体" w:hAnsi="宋体" w:eastAsia="宋体" w:cs="宋体"/>
          <w:u w:val="none"/>
        </w:rPr>
        <w:t>雾化效果：基于距离的指数雾模型，为场景添加深度感和大气透视效果</w:t>
      </w:r>
    </w:p>
    <w:p w14:paraId="584DFBF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阴影质量优化：采用 PCF（Percentage-Closer Filtering）技术对阴影边缘进行反走样处理，消除锯齿现象</w:t>
      </w:r>
    </w:p>
    <w:p w14:paraId="043918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宋体" w:hAnsi="宋体" w:eastAsia="宋体" w:cs="宋体"/>
          <w:u w:val="none"/>
        </w:rPr>
      </w:pPr>
      <w:r>
        <w:rPr>
          <w:rFonts w:hint="eastAsia" w:ascii="宋体" w:hAnsi="宋体" w:eastAsia="宋体" w:cs="宋体"/>
          <w:u w:val="none"/>
        </w:rPr>
        <w:t>整个系统支持完整的光照计算、纹理映射、实时阴影和多种视觉特效，通过键盘和鼠标交互实现场景的实时控制和效果调整。</w:t>
      </w:r>
    </w:p>
    <w:p w14:paraId="3BF30F0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p>
    <w:p w14:paraId="7AC91B3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32"/>
          <w:szCs w:val="32"/>
          <w:u w:val="none"/>
        </w:rPr>
      </w:pPr>
      <w:r>
        <w:rPr>
          <w:rFonts w:hint="eastAsia" w:ascii="黑体" w:hAnsi="黑体" w:eastAsia="黑体" w:cs="黑体"/>
          <w:sz w:val="32"/>
          <w:szCs w:val="32"/>
          <w:u w:val="none"/>
        </w:rPr>
        <w:t>二、重点难点</w:t>
      </w:r>
    </w:p>
    <w:p w14:paraId="38EBA9B5">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b/>
          <w:bCs/>
          <w:u w:val="none"/>
        </w:rPr>
      </w:pPr>
      <w:r>
        <w:rPr>
          <w:rFonts w:hint="eastAsia" w:ascii="宋体" w:hAnsi="宋体" w:eastAsia="宋体" w:cs="宋体"/>
          <w:b/>
          <w:bCs/>
          <w:u w:val="none"/>
        </w:rPr>
        <w:t>1. 透明物体的正确渲染</w:t>
      </w:r>
    </w:p>
    <w:p w14:paraId="7A226475">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黑体" w:hAnsi="黑体" w:eastAsia="黑体" w:cs="黑体"/>
          <w:u w:val="none"/>
        </w:rPr>
        <w:t>重点：</w:t>
      </w:r>
      <w:r>
        <w:rPr>
          <w:rFonts w:hint="eastAsia" w:ascii="宋体" w:hAnsi="宋体" w:eastAsia="宋体" w:cs="宋体"/>
          <w:u w:val="none"/>
        </w:rPr>
        <w:t>实现物体从完全不透明到完全透明的平滑过渡，保持正确的深度排序和颜色混合</w:t>
      </w:r>
    </w:p>
    <w:p w14:paraId="3FE9FAA0">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u w:val="none"/>
        </w:rPr>
      </w:pPr>
      <w:r>
        <w:rPr>
          <w:rFonts w:hint="eastAsia" w:ascii="黑体" w:hAnsi="黑体" w:eastAsia="黑体" w:cs="黑体"/>
          <w:u w:val="none"/>
        </w:rPr>
        <w:t>难点：</w:t>
      </w:r>
    </w:p>
    <w:p w14:paraId="650D9C5E">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透明物体与天空盒的渲染顺序冲突，实体物体有时会被天空盒错误遮挡</w:t>
      </w:r>
    </w:p>
    <w:p w14:paraId="48D891A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半透明物体的深度写入与混合模式需要精确控制</w:t>
      </w:r>
    </w:p>
    <w:p w14:paraId="72AA342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透明物体投射的阴影强度需要随透明度动态调整</w:t>
      </w:r>
    </w:p>
    <w:p w14:paraId="6585ED7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u w:val="none"/>
        </w:rPr>
      </w:pPr>
      <w:r>
        <w:rPr>
          <w:rFonts w:hint="eastAsia" w:ascii="黑体" w:hAnsi="黑体" w:eastAsia="黑体" w:cs="黑体"/>
          <w:u w:val="none"/>
        </w:rPr>
        <w:t>解决方法：</w:t>
      </w:r>
    </w:p>
    <w:p w14:paraId="21555A2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采用分通道渲染策略，先渲染不透明物体，再按正确顺序渲染透明物体</w:t>
      </w:r>
    </w:p>
    <w:p w14:paraId="751283A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根据透明度阈值动态切换深度写入状态和混合函数</w:t>
      </w:r>
    </w:p>
    <w:p w14:paraId="1B221A43">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建立阴影强度与物体透明度的关联机制，确保视觉一致性</w:t>
      </w:r>
    </w:p>
    <w:p w14:paraId="0BFD59E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b/>
          <w:bCs/>
          <w:u w:val="none"/>
        </w:rPr>
      </w:pPr>
      <w:r>
        <w:rPr>
          <w:rFonts w:hint="eastAsia" w:ascii="宋体" w:hAnsi="宋体" w:eastAsia="宋体" w:cs="宋体"/>
          <w:b/>
          <w:bCs/>
          <w:u w:val="none"/>
        </w:rPr>
        <w:t>2. 阴影系统的统一处理</w:t>
      </w:r>
    </w:p>
    <w:p w14:paraId="5246831F">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黑体" w:hAnsi="黑体" w:eastAsia="黑体" w:cs="黑体"/>
          <w:u w:val="none"/>
        </w:rPr>
        <w:t>重点：</w:t>
      </w:r>
      <w:r>
        <w:rPr>
          <w:rFonts w:hint="eastAsia" w:ascii="宋体" w:hAnsi="宋体" w:eastAsia="宋体" w:cs="宋体"/>
          <w:u w:val="none"/>
        </w:rPr>
        <w:t>构建支持多种光源类型和物体状态的统一阴影计算框架</w:t>
      </w:r>
    </w:p>
    <w:p w14:paraId="44689A96">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u w:val="none"/>
        </w:rPr>
      </w:pPr>
      <w:r>
        <w:rPr>
          <w:rFonts w:hint="eastAsia" w:ascii="黑体" w:hAnsi="黑体" w:eastAsia="黑体" w:cs="黑体"/>
          <w:u w:val="none"/>
        </w:rPr>
        <w:t>难点：</w:t>
      </w:r>
    </w:p>
    <w:p w14:paraId="1A8B7F06">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点光源和平行光需要不同的投影矩阵和阴影计算方法</w:t>
      </w:r>
    </w:p>
    <w:p w14:paraId="3C7021E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物体透明度变化时，投射阴影的强度需要相应调整</w:t>
      </w:r>
    </w:p>
    <w:p w14:paraId="106A9C4B">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光源类型切换时阴影表现不一致，视觉效果不连贯</w:t>
      </w:r>
    </w:p>
    <w:p w14:paraId="4C3CDE2E">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u w:val="none"/>
        </w:rPr>
      </w:pPr>
      <w:r>
        <w:rPr>
          <w:rFonts w:hint="eastAsia" w:ascii="黑体" w:hAnsi="黑体" w:eastAsia="黑体" w:cs="黑体"/>
          <w:u w:val="none"/>
        </w:rPr>
        <w:t>解决方法：</w:t>
      </w:r>
    </w:p>
    <w:p w14:paraId="00E7542D">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根据光源类型动态选择透视投影或正交投影矩阵</w:t>
      </w:r>
    </w:p>
    <w:p w14:paraId="780F85C5">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在阴影计算中引入投射者透明度参数，实现阴影强度的平滑过渡</w:t>
      </w:r>
    </w:p>
    <w:p w14:paraId="49B6FA49">
      <w:pPr>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统一阴影偏差计算和边缘处理逻辑，确保不同光源类型下的阴影质量</w:t>
      </w:r>
    </w:p>
    <w:p w14:paraId="2636B49E">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b/>
          <w:bCs/>
          <w:u w:val="none"/>
        </w:rPr>
      </w:pPr>
      <w:r>
        <w:rPr>
          <w:rFonts w:hint="eastAsia" w:ascii="宋体" w:hAnsi="宋体" w:eastAsia="宋体" w:cs="宋体"/>
          <w:b/>
          <w:bCs/>
          <w:u w:val="none"/>
        </w:rPr>
        <w:t>3. 多特效的协同工作</w:t>
      </w:r>
    </w:p>
    <w:p w14:paraId="1433CA9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黑体" w:hAnsi="黑体" w:eastAsia="黑体" w:cs="黑体"/>
          <w:u w:val="none"/>
        </w:rPr>
        <w:t>重点：</w:t>
      </w:r>
      <w:r>
        <w:rPr>
          <w:rFonts w:hint="eastAsia" w:ascii="宋体" w:hAnsi="宋体" w:eastAsia="宋体" w:cs="宋体"/>
          <w:u w:val="none"/>
        </w:rPr>
        <w:t>确保透明度、雾化和阴影三种特效能够协同工作，不产生视觉冲突</w:t>
      </w:r>
    </w:p>
    <w:p w14:paraId="2A8692D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u w:val="none"/>
        </w:rPr>
      </w:pPr>
      <w:r>
        <w:rPr>
          <w:rFonts w:hint="eastAsia" w:ascii="黑体" w:hAnsi="黑体" w:eastAsia="黑体" w:cs="黑体"/>
          <w:u w:val="none"/>
        </w:rPr>
        <w:t>难点：</w:t>
      </w:r>
    </w:p>
    <w:p w14:paraId="776D3CF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雾化效果会影响透明物体的颜色计算</w:t>
      </w:r>
    </w:p>
    <w:p w14:paraId="3A799CB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阴影边缘反走样在透明物体上可能出现异常</w:t>
      </w:r>
    </w:p>
    <w:p w14:paraId="439AE47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多种特效参数的联动调整和性能平衡</w:t>
      </w:r>
      <w:bookmarkStart w:id="0" w:name="_GoBack"/>
      <w:bookmarkEnd w:id="0"/>
    </w:p>
    <w:p w14:paraId="685BC715">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u w:val="none"/>
        </w:rPr>
      </w:pPr>
      <w:r>
        <w:rPr>
          <w:rFonts w:hint="eastAsia" w:ascii="黑体" w:hAnsi="黑体" w:eastAsia="黑体" w:cs="黑体"/>
          <w:u w:val="none"/>
        </w:rPr>
        <w:t>解决方法：</w:t>
      </w:r>
    </w:p>
    <w:p w14:paraId="1FE70DFA">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建立特效应用顺序规范，先计算基础光照和阴影，再应用雾化和透明度</w:t>
      </w:r>
    </w:p>
    <w:p w14:paraId="0A88D9F7">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为每个特效设计独立的控制参数和质量级别</w:t>
      </w:r>
    </w:p>
    <w:p w14:paraId="76B1C51C">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u w:val="none"/>
        </w:rPr>
      </w:pPr>
      <w:r>
        <w:rPr>
          <w:rFonts w:hint="eastAsia" w:ascii="宋体" w:hAnsi="宋体" w:eastAsia="宋体" w:cs="宋体"/>
          <w:u w:val="none"/>
        </w:rPr>
        <w:t>通过统一的渲染状态管理避免状态冲突和性能瓶颈</w:t>
      </w:r>
    </w:p>
    <w:p w14:paraId="3E98925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p>
    <w:p w14:paraId="521F8E6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32"/>
          <w:szCs w:val="32"/>
          <w:u w:val="none"/>
        </w:rPr>
      </w:pPr>
      <w:r>
        <w:rPr>
          <w:rFonts w:hint="eastAsia" w:ascii="黑体" w:hAnsi="黑体" w:eastAsia="黑体" w:cs="黑体"/>
          <w:sz w:val="32"/>
          <w:szCs w:val="32"/>
          <w:u w:val="none"/>
        </w:rPr>
        <w:t>三、心得</w:t>
      </w:r>
    </w:p>
    <w:p w14:paraId="34ED8ACE">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b/>
          <w:bCs/>
          <w:u w:val="none"/>
        </w:rPr>
      </w:pPr>
      <w:r>
        <w:rPr>
          <w:rFonts w:hint="eastAsia" w:ascii="宋体" w:hAnsi="宋体" w:eastAsia="宋体" w:cs="宋体"/>
          <w:b/>
          <w:bCs/>
          <w:u w:val="none"/>
        </w:rPr>
        <w:t>1. 对实时图形渲染有了更深入的理解</w:t>
      </w:r>
    </w:p>
    <w:p w14:paraId="2B4B7DD0">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宋体" w:hAnsi="宋体" w:eastAsia="宋体" w:cs="宋体"/>
          <w:u w:val="none"/>
        </w:rPr>
        <w:t>通过手动实现完整的 Phong 着色模型和阴影系统，我们深入理解了现代图形渲染管线的各个阶段。从顶点变换到片段着色，从深度测试到颜色混合，每个环节都对最终视觉效果产生重要影响。特别是通过调试透明度渲染顺序问题，我们更加清晰地认识到深度缓冲和渲染顺序在三维图形中的关键作用。</w:t>
      </w:r>
    </w:p>
    <w:p w14:paraId="15B53679">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b/>
          <w:bCs/>
          <w:u w:val="none"/>
        </w:rPr>
      </w:pPr>
      <w:r>
        <w:rPr>
          <w:rFonts w:hint="eastAsia" w:ascii="宋体" w:hAnsi="宋体" w:eastAsia="宋体" w:cs="宋体"/>
          <w:b/>
          <w:bCs/>
          <w:u w:val="none"/>
        </w:rPr>
        <w:t>2. 掌握了高级渲染技术的实现原理</w:t>
      </w:r>
    </w:p>
    <w:p w14:paraId="2EAC40F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宋体" w:hAnsi="宋体" w:eastAsia="宋体" w:cs="宋体"/>
          <w:u w:val="none"/>
        </w:rPr>
        <w:t>本次实验让我们真正掌握了阴影映射、透明度混合、雾化效果等高级渲染技术的实现细节。特别是 PCF 反走样技术的实践，让我们理解了如何通过多重采样和滤波来提升视觉质量。这些经验对于我们后续学习更复杂的渲染算法奠定了坚实基础。</w:t>
      </w:r>
    </w:p>
    <w:p w14:paraId="0BBF90E6">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b/>
          <w:bCs/>
          <w:u w:val="none"/>
        </w:rPr>
      </w:pPr>
      <w:r>
        <w:rPr>
          <w:rFonts w:hint="eastAsia" w:ascii="宋体" w:hAnsi="宋体" w:eastAsia="宋体" w:cs="宋体"/>
          <w:b/>
          <w:bCs/>
          <w:u w:val="none"/>
        </w:rPr>
        <w:t>3. 提升了复杂系统的问题解决能力</w:t>
      </w:r>
    </w:p>
    <w:p w14:paraId="4ACF9B9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宋体" w:hAnsi="宋体" w:eastAsia="宋体" w:cs="宋体"/>
          <w:u w:val="none"/>
        </w:rPr>
        <w:t>在开发过程中，我们遇到了多个技术难点，特别是透明物体渲染和光源切换时的阴影一致性问题。通过系统性的分析、分步骤调试和算法优化，我们最终找到了有效的解决方案。这个过程极大地锻炼了我们的问题分析能力和工程实践能力。</w:t>
      </w:r>
    </w:p>
    <w:p w14:paraId="23CDD005">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bCs/>
          <w:u w:val="none"/>
        </w:rPr>
      </w:pPr>
      <w:r>
        <w:rPr>
          <w:rFonts w:hint="eastAsia" w:ascii="宋体" w:hAnsi="宋体" w:eastAsia="宋体" w:cs="宋体"/>
          <w:b/>
          <w:bCs/>
          <w:u w:val="none"/>
          <w:lang w:val="en-US" w:eastAsia="zh-CN"/>
        </w:rPr>
        <w:t>4</w:t>
      </w:r>
      <w:r>
        <w:rPr>
          <w:rFonts w:hint="eastAsia" w:ascii="宋体" w:hAnsi="宋体" w:eastAsia="宋体" w:cs="宋体"/>
          <w:b/>
          <w:bCs/>
          <w:u w:val="none"/>
        </w:rPr>
        <w:t>. 团队协作的重要性得到验证</w:t>
      </w:r>
    </w:p>
    <w:p w14:paraId="7F24DEDF">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宋体" w:hAnsi="宋体" w:eastAsia="宋体" w:cs="宋体"/>
          <w:u w:val="none"/>
        </w:rPr>
        <w:t>在解决复杂技术问题的过程中，团队成员之间的分工协作、知识共享和思路碰撞起到了关键作用。每个人从不同角度分析问题，最终汇集成为完整的解决方案，这种协作模式极大地提升了项目开发效率和质量。</w:t>
      </w:r>
    </w:p>
    <w:p w14:paraId="4B34535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cs="宋体"/>
          <w:u w:val="none"/>
        </w:rPr>
      </w:pPr>
      <w:r>
        <w:rPr>
          <w:rFonts w:hint="eastAsia" w:ascii="宋体" w:hAnsi="宋体" w:eastAsia="宋体" w:cs="宋体"/>
          <w:u w:val="none"/>
        </w:rPr>
        <w:t>通过本次实验，我们不仅掌握了 WebGL 编程和实时渲染技术，更重要的是培养了面对复杂技术挑战时的系统思维和解决能力。从理论算法到实践实现，从基础功能到高级特效，整个项目让我们对计算机图形学有了更加全面和深入的认识，为后续的学习和研究奠定了坚实的基础。</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7D72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29F3E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429F3E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EE118">
    <w:pPr>
      <w:pStyle w:val="3"/>
      <w:rPr>
        <w:rFonts w:hint="eastAsia"/>
      </w:rPr>
    </w:pPr>
    <w:r>
      <w:rPr>
        <w:rFonts w:hint="eastAsia"/>
      </w:rPr>
      <w:t>计算机图形学</w:t>
    </w:r>
    <w:r>
      <w:t xml:space="preserve"> </w:t>
    </w:r>
    <w:r>
      <w:rPr>
        <w:rFonts w:hint="eastAsia"/>
      </w:rPr>
      <w:t>编程作业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89F60"/>
    <w:multiLevelType w:val="singleLevel"/>
    <w:tmpl w:val="B4E89F60"/>
    <w:lvl w:ilvl="0" w:tentative="0">
      <w:start w:val="1"/>
      <w:numFmt w:val="bullet"/>
      <w:lvlText w:val=""/>
      <w:lvlJc w:val="left"/>
      <w:pPr>
        <w:ind w:left="420" w:hanging="420"/>
      </w:pPr>
      <w:rPr>
        <w:rFonts w:hint="default" w:ascii="Wingdings" w:hAnsi="Wingdings"/>
      </w:rPr>
    </w:lvl>
  </w:abstractNum>
  <w:abstractNum w:abstractNumId="1">
    <w:nsid w:val="0C25C3A5"/>
    <w:multiLevelType w:val="singleLevel"/>
    <w:tmpl w:val="0C25C3A5"/>
    <w:lvl w:ilvl="0" w:tentative="0">
      <w:start w:val="1"/>
      <w:numFmt w:val="bullet"/>
      <w:lvlText w:val=""/>
      <w:lvlJc w:val="left"/>
      <w:pPr>
        <w:ind w:left="420" w:hanging="420"/>
      </w:pPr>
      <w:rPr>
        <w:rFonts w:hint="default" w:ascii="Wingdings" w:hAnsi="Wingdings"/>
      </w:rPr>
    </w:lvl>
  </w:abstractNum>
  <w:abstractNum w:abstractNumId="2">
    <w:nsid w:val="14B70F21"/>
    <w:multiLevelType w:val="singleLevel"/>
    <w:tmpl w:val="14B70F21"/>
    <w:lvl w:ilvl="0" w:tentative="0">
      <w:start w:val="1"/>
      <w:numFmt w:val="bullet"/>
      <w:lvlText w:val=""/>
      <w:lvlJc w:val="left"/>
      <w:pPr>
        <w:ind w:left="420" w:hanging="420"/>
      </w:pPr>
      <w:rPr>
        <w:rFonts w:hint="default" w:ascii="Wingdings" w:hAnsi="Wingdings"/>
      </w:rPr>
    </w:lvl>
  </w:abstractNum>
  <w:abstractNum w:abstractNumId="3">
    <w:nsid w:val="3274575F"/>
    <w:multiLevelType w:val="singleLevel"/>
    <w:tmpl w:val="3274575F"/>
    <w:lvl w:ilvl="0" w:tentative="0">
      <w:start w:val="1"/>
      <w:numFmt w:val="bullet"/>
      <w:lvlText w:val=""/>
      <w:lvlJc w:val="left"/>
      <w:pPr>
        <w:ind w:left="420" w:hanging="420"/>
      </w:pPr>
      <w:rPr>
        <w:rFonts w:hint="default" w:ascii="Wingdings" w:hAnsi="Wingdings"/>
      </w:rPr>
    </w:lvl>
  </w:abstractNum>
  <w:abstractNum w:abstractNumId="4">
    <w:nsid w:val="35D3A78E"/>
    <w:multiLevelType w:val="singleLevel"/>
    <w:tmpl w:val="35D3A78E"/>
    <w:lvl w:ilvl="0" w:tentative="0">
      <w:start w:val="1"/>
      <w:numFmt w:val="bullet"/>
      <w:lvlText w:val=""/>
      <w:lvlJc w:val="left"/>
      <w:pPr>
        <w:ind w:left="420" w:hanging="420"/>
      </w:pPr>
      <w:rPr>
        <w:rFonts w:hint="default" w:ascii="Wingdings" w:hAnsi="Wingdings"/>
      </w:rPr>
    </w:lvl>
  </w:abstractNum>
  <w:abstractNum w:abstractNumId="5">
    <w:nsid w:val="470A94D8"/>
    <w:multiLevelType w:val="singleLevel"/>
    <w:tmpl w:val="470A94D8"/>
    <w:lvl w:ilvl="0" w:tentative="0">
      <w:start w:val="1"/>
      <w:numFmt w:val="bullet"/>
      <w:lvlText w:val=""/>
      <w:lvlJc w:val="left"/>
      <w:pPr>
        <w:ind w:left="420" w:hanging="420"/>
      </w:pPr>
      <w:rPr>
        <w:rFonts w:hint="default" w:ascii="Wingdings" w:hAnsi="Wingdings"/>
      </w:rPr>
    </w:lvl>
  </w:abstractNum>
  <w:abstractNum w:abstractNumId="6">
    <w:nsid w:val="69A32D56"/>
    <w:multiLevelType w:val="singleLevel"/>
    <w:tmpl w:val="69A32D56"/>
    <w:lvl w:ilvl="0" w:tentative="0">
      <w:start w:val="1"/>
      <w:numFmt w:val="bullet"/>
      <w:lvlText w:val=""/>
      <w:lvlJc w:val="left"/>
      <w:pPr>
        <w:ind w:left="420" w:hanging="420"/>
      </w:pPr>
      <w:rPr>
        <w:rFonts w:hint="default" w:ascii="Wingdings" w:hAnsi="Wingdings"/>
      </w:rPr>
    </w:lvl>
  </w:abstractNum>
  <w:abstractNum w:abstractNumId="7">
    <w:nsid w:val="6B8F2F23"/>
    <w:multiLevelType w:val="singleLevel"/>
    <w:tmpl w:val="6B8F2F23"/>
    <w:lvl w:ilvl="0" w:tentative="0">
      <w:start w:val="1"/>
      <w:numFmt w:val="bullet"/>
      <w:lvlText w:val=""/>
      <w:lvlJc w:val="left"/>
      <w:pPr>
        <w:ind w:left="420" w:hanging="420"/>
      </w:pPr>
      <w:rPr>
        <w:rFonts w:hint="default" w:ascii="Wingdings" w:hAnsi="Wingdings"/>
      </w:rPr>
    </w:lvl>
  </w:abstractNum>
  <w:num w:numId="1">
    <w:abstractNumId w:val="0"/>
  </w:num>
  <w:num w:numId="2">
    <w:abstractNumId w:val="4"/>
  </w:num>
  <w:num w:numId="3">
    <w:abstractNumId w:val="3"/>
  </w:num>
  <w:num w:numId="4">
    <w:abstractNumId w:val="7"/>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98"/>
    <w:rsid w:val="00016745"/>
    <w:rsid w:val="00037BEE"/>
    <w:rsid w:val="000906FF"/>
    <w:rsid w:val="000B393D"/>
    <w:rsid w:val="000E5474"/>
    <w:rsid w:val="001066DD"/>
    <w:rsid w:val="00113F25"/>
    <w:rsid w:val="00143E09"/>
    <w:rsid w:val="001545C1"/>
    <w:rsid w:val="00170798"/>
    <w:rsid w:val="00187A07"/>
    <w:rsid w:val="001A72D7"/>
    <w:rsid w:val="001D450D"/>
    <w:rsid w:val="001F7EFA"/>
    <w:rsid w:val="002505B8"/>
    <w:rsid w:val="00281BB8"/>
    <w:rsid w:val="00286436"/>
    <w:rsid w:val="00304D01"/>
    <w:rsid w:val="003059E8"/>
    <w:rsid w:val="00307918"/>
    <w:rsid w:val="00325826"/>
    <w:rsid w:val="00330857"/>
    <w:rsid w:val="00330BB2"/>
    <w:rsid w:val="00332B2B"/>
    <w:rsid w:val="00335690"/>
    <w:rsid w:val="00347866"/>
    <w:rsid w:val="00352191"/>
    <w:rsid w:val="00385CBC"/>
    <w:rsid w:val="003A7026"/>
    <w:rsid w:val="003D0740"/>
    <w:rsid w:val="003D4E31"/>
    <w:rsid w:val="00405D4F"/>
    <w:rsid w:val="004252BA"/>
    <w:rsid w:val="00430B17"/>
    <w:rsid w:val="00443554"/>
    <w:rsid w:val="00447360"/>
    <w:rsid w:val="00460D54"/>
    <w:rsid w:val="004D4120"/>
    <w:rsid w:val="004D57C0"/>
    <w:rsid w:val="004E093F"/>
    <w:rsid w:val="004E5E57"/>
    <w:rsid w:val="00500AE6"/>
    <w:rsid w:val="005159F7"/>
    <w:rsid w:val="00521ED1"/>
    <w:rsid w:val="0052212C"/>
    <w:rsid w:val="00523104"/>
    <w:rsid w:val="00534839"/>
    <w:rsid w:val="00534889"/>
    <w:rsid w:val="005C0920"/>
    <w:rsid w:val="00651D95"/>
    <w:rsid w:val="006777C7"/>
    <w:rsid w:val="0068010B"/>
    <w:rsid w:val="006A1CB6"/>
    <w:rsid w:val="006D2906"/>
    <w:rsid w:val="006F12AD"/>
    <w:rsid w:val="00700E71"/>
    <w:rsid w:val="007053CC"/>
    <w:rsid w:val="0072412C"/>
    <w:rsid w:val="007314A3"/>
    <w:rsid w:val="00770177"/>
    <w:rsid w:val="00794291"/>
    <w:rsid w:val="007A4B32"/>
    <w:rsid w:val="007B0083"/>
    <w:rsid w:val="007C35CB"/>
    <w:rsid w:val="007E3B76"/>
    <w:rsid w:val="00806662"/>
    <w:rsid w:val="00833907"/>
    <w:rsid w:val="008437E5"/>
    <w:rsid w:val="0085064D"/>
    <w:rsid w:val="00857DF8"/>
    <w:rsid w:val="0087202F"/>
    <w:rsid w:val="00874FE4"/>
    <w:rsid w:val="008D6ED0"/>
    <w:rsid w:val="00906599"/>
    <w:rsid w:val="00912BDF"/>
    <w:rsid w:val="00935166"/>
    <w:rsid w:val="0094647E"/>
    <w:rsid w:val="00950049"/>
    <w:rsid w:val="00954A0B"/>
    <w:rsid w:val="00970833"/>
    <w:rsid w:val="0098554E"/>
    <w:rsid w:val="009B0B64"/>
    <w:rsid w:val="009D3FDD"/>
    <w:rsid w:val="009D6EA5"/>
    <w:rsid w:val="009E7BF7"/>
    <w:rsid w:val="009F20F0"/>
    <w:rsid w:val="009F7968"/>
    <w:rsid w:val="00A0398E"/>
    <w:rsid w:val="00A2301A"/>
    <w:rsid w:val="00A2687C"/>
    <w:rsid w:val="00A269E5"/>
    <w:rsid w:val="00A900CC"/>
    <w:rsid w:val="00AD1C85"/>
    <w:rsid w:val="00B300BB"/>
    <w:rsid w:val="00B8114E"/>
    <w:rsid w:val="00B82A35"/>
    <w:rsid w:val="00B85E8B"/>
    <w:rsid w:val="00BA32CC"/>
    <w:rsid w:val="00BE2284"/>
    <w:rsid w:val="00BF1545"/>
    <w:rsid w:val="00BF62CD"/>
    <w:rsid w:val="00C0557E"/>
    <w:rsid w:val="00C54627"/>
    <w:rsid w:val="00C82783"/>
    <w:rsid w:val="00C83012"/>
    <w:rsid w:val="00CD2FFC"/>
    <w:rsid w:val="00D16609"/>
    <w:rsid w:val="00D23191"/>
    <w:rsid w:val="00D378C6"/>
    <w:rsid w:val="00D54747"/>
    <w:rsid w:val="00D559F3"/>
    <w:rsid w:val="00D62AEB"/>
    <w:rsid w:val="00D677A3"/>
    <w:rsid w:val="00E330A9"/>
    <w:rsid w:val="00E658C7"/>
    <w:rsid w:val="00EB088A"/>
    <w:rsid w:val="00ED333F"/>
    <w:rsid w:val="00ED63F7"/>
    <w:rsid w:val="00F0165D"/>
    <w:rsid w:val="00F4387D"/>
    <w:rsid w:val="00FA43C6"/>
    <w:rsid w:val="00FD5612"/>
    <w:rsid w:val="00FE1097"/>
    <w:rsid w:val="00FF2D31"/>
    <w:rsid w:val="503A56A5"/>
    <w:rsid w:val="6A6B28C1"/>
    <w:rsid w:val="73287C79"/>
    <w:rsid w:val="7C801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customStyle="1" w:styleId="8">
    <w:name w:val="页眉 字符"/>
    <w:basedOn w:val="5"/>
    <w:link w:val="3"/>
    <w:qFormat/>
    <w:uiPriority w:val="99"/>
    <w:rPr>
      <w:sz w:val="18"/>
      <w:szCs w:val="18"/>
    </w:rPr>
  </w:style>
  <w:style w:type="character" w:customStyle="1" w:styleId="9">
    <w:name w:val="页脚 字符"/>
    <w:basedOn w:val="5"/>
    <w:link w:val="2"/>
    <w:qFormat/>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DoubleOX</Company>
  <Pages>3</Pages>
  <Words>1751</Words>
  <Characters>1877</Characters>
  <Lines>1</Lines>
  <Paragraphs>1</Paragraphs>
  <TotalTime>85</TotalTime>
  <ScaleCrop>false</ScaleCrop>
  <LinksUpToDate>false</LinksUpToDate>
  <CharactersWithSpaces>1925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2020-09-01T07:16:00Z</dcterms:created>
  <dc:creator>690051933@qq.com</dc:creator>
  <cp:lastModifiedBy>张晓霞</cp:lastModifiedBy>
  <dcterms:modified xsi:type="dcterms:W3CDTF">2025-11-30T11:44:29Z</dcterms:modified>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eyJoZGlkIjoiYjIxNTQyMjUzYTgzZjg4NWY3YjgwZWViNTIyNmNkY2IiLCJ1c2VySWQiOiIxNzczMDcwMDQzIn0=</vt:lpwstr>
  </property>
  <property fmtid="{D5CDD505-2E9C-101B-9397-08002B2CF9AE}" pid="3" name="KSOProductBuildVer">
    <vt:lpwstr>2052-12.1.0.23542</vt:lpwstr>
  </property>
  <property fmtid="{D5CDD505-2E9C-101B-9397-08002B2CF9AE}" pid="4" name="ICV">
    <vt:lpwstr>88E2F3C464C3448391636EE75E6F6FD8_12</vt:lpwstr>
  </property>
</Properties>
</file>