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Detección y diagnóstico de fallas por simulación — Resultados</w:t>
      </w:r>
    </w:p>
    <w:p>
      <w:pPr>
        <w:jc w:val="left"/>
      </w:pPr>
      <w:r>
        <w:t>Fase 5 — Monitoreo e Innovación · Plan Integral de Mantenimiento</w:t>
        <w:br/>
        <w:t>Sistema de Refrigeración y Aire Acondicionado (0251) — UTP</w:t>
        <w:br/>
        <w:t>Sistema de estudio: Enfriadora de agua con condensador enfriado por aire. Distribución hidrónica hacia manejadoras y fan-coils.</w:t>
        <w:br/>
        <w:t>Generado automáticamente el 2026-09-06</w:t>
      </w:r>
    </w:p>
    <w:p>
      <w:pPr>
        <w:pStyle w:val="Heading1"/>
      </w:pPr>
      <w:r>
        <w:t>Declaraciones</w:t>
      </w:r>
    </w:p>
    <w:p>
      <w:r>
        <w:t>Estas declaraciones no debilitan el trabajo: lo blindan. Una limitación declarada y analizada es criterio; una no declarada es un error.</w:t>
      </w:r>
    </w:p>
    <w:p>
      <w:pPr>
        <w:pStyle w:val="ListNumber"/>
      </w:pPr>
      <w:r>
        <w:t>El modelo fue entrenado con datos sintéticos generados a partir de un modelo termodinámico del ciclo de compresión de vapor, no con datos históricos de la instalación.</w:t>
      </w:r>
    </w:p>
    <w:p>
      <w:pPr>
        <w:pStyle w:val="ListNumber"/>
      </w:pPr>
      <w:r>
        <w:t>El modelado del inventario de refrigerante (carga baja, sobrecarga) es una aproximación empírica, no un modelo de primeros principios.</w:t>
      </w:r>
    </w:p>
    <w:p>
      <w:pPr>
        <w:pStyle w:val="ListNumber"/>
      </w:pPr>
      <w:r>
        <w:t>Lo que se demuestra es la viabilidad del método; la implementación en la instalación real requeriría un periodo de recolección de datos y la calibración de los coeficientes UA con mediciones de campo.</w:t>
      </w:r>
    </w:p>
    <w:p>
      <w:pPr>
        <w:pStyle w:val="ListNumber"/>
      </w:pPr>
      <w:r>
        <w:t>Las métricas principales son recall y F1 por clase; la exactitud global se reporta acompañada de la proporción de clases.</w:t>
      </w:r>
    </w:p>
    <w:p>
      <w:pPr>
        <w:pStyle w:val="ListNumber"/>
      </w:pPr>
      <w:r>
        <w:t>Los resultados principales se reportan CON discrepancia entre modelo y planta: la referencia sana que se resta se calcula con un gemelo digital desafinado en ±5 % respecto del equipo simulado. Sin esa discrepancia, el único error presente sería el ruido de los instrumentos y la separación entre clases resultaría trivial por construcción.</w:t>
      </w:r>
    </w:p>
    <w:p>
      <w:pPr>
        <w:pStyle w:val="ListNumber"/>
      </w:pPr>
      <w:r>
        <w:t>El circuito de agua helada se supone de CAUDAL PRIMARIO CONSTANTE. Es un supuesto pendiente de verificar en el cuarto de máquinas: si la instalación resultara de caudal primario variable, un caudal reducido a carga parcial sería operación normal y la clase `caudal_agua_bajo` dejaría de ser válida tal como está planteada.</w:t>
      </w:r>
    </w:p>
    <w:p>
      <w:r>
        <w:t>AVISO: 29 parámetros del equipo siguen marcados como PROVISIONALES a la espera de la placa y de la hoja `Ficha Tecnica`: K_ctrl_valvula, K_v_valvula, N_rev, Q_nom, SC_nom, SH_objetivo, T_agua_sup_sp, UA_cd, UA_ev, V_disp, W_aux, approach_torre, beta_sh_UA, dSH_linea, dT_agua_nom, eta_motor, eta_s, eta_v0, fp, k_SC_Tcond, k_carga_parcial, k_v, m_a_cd, m_a_ev, m_w_cd, m_w_ev, refrigerante, tension_linea, y_min.</w:t>
      </w:r>
    </w:p>
    <w:p>
      <w:pPr>
        <w:pStyle w:val="Heading1"/>
      </w:pPr>
      <w:r>
        <w:t>1. Configuración del experimento</w:t>
      </w:r>
    </w:p>
    <w:p>
      <w:r>
        <w:t>Topología: chiller_cond_aire — Enfriadora de agua con condensador enfriado por aire. Distribución hidrónica hacia manejadoras y fan-coils.</w:t>
      </w:r>
    </w:p>
    <w:p>
      <w:r>
        <w:t>Semilla maestra: 20260902</w:t>
      </w:r>
    </w:p>
    <w:p>
      <w:r>
        <w:t>Discrepancia modelo-planta: 5% (por_condicion)</w:t>
      </w:r>
    </w:p>
    <w:p>
      <w:r>
        <w:t>Partición por grupos de condición de contorno — filas: {'entrenamiento': 9151, 'validacion': 1929, 'prueba': 1997}; condiciones: {'train': 280, 'val': 59, 'test': 61}. Ninguna condición aparece en más de una partición.</w:t>
      </w:r>
    </w:p>
    <w:p>
      <w:r>
        <w:t>Entradas del clasificador (lista blanca): res_SH_evap, res_SH_total, res_SC, res_SH_des, res_rp, res_COP, res_kW_TR, res_approach_ev, res_dT_agua_ev, res_split_cond, res_dT_air_cd</w:t>
      </w:r>
    </w:p>
    <w:p>
      <w:r>
        <w:t>No se usan mediciones crudas ni condiciones de contorno: el clasificador opera solo sobre residuos, para que no pueda aprender clima en lugar de falla. Las banderas del control (saturación de capacidad, ciclado, retorno de líquido) se registran para el análisis pero se excluyen del entrenamiento, porque están correlacionadas con la severidad de la falla.</w:t>
      </w:r>
    </w:p>
    <w:p>
      <w:r>
        <w:t>Convergencia del solver: 13077 de 13200 puntos (0.93 % descartados).</w:t>
      </w:r>
    </w:p>
    <w:p>
      <w:r>
        <w:t>Coeficientes UA calibrados: UA_ev = 91066 W/K, UA_cd = 58795 W/K (origen: Punto de diseño de catálogo (PROVISIONAL, sustituir por hoja `Registro Campo` de la Fase 1)).</w:t>
      </w:r>
    </w:p>
    <w:p>
      <w:pPr>
        <w:pStyle w:val="Heading2"/>
      </w:pPr>
      <w:r>
        <w:t>Selección de modelo</w:t>
      </w:r>
    </w:p>
    <w:p>
      <w:r>
        <w:t>Criterio: F1 macro sobre el conjunto de VALIDACIÓN. Modelo elegido: random_forest.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6"/>
              </w:rPr>
              <w:t>Candidato</w:t>
            </w:r>
          </w:p>
        </w:tc>
        <w:tc>
          <w:tcPr>
            <w:tcW w:type="dxa" w:w="2160"/>
          </w:tcPr>
          <w:p>
            <w:r>
              <w:rPr>
                <w:b/>
                <w:sz w:val="16"/>
              </w:rPr>
              <w:t>F1 macro (CV)</w:t>
            </w:r>
          </w:p>
        </w:tc>
        <w:tc>
          <w:tcPr>
            <w:tcW w:type="dxa" w:w="2160"/>
          </w:tcPr>
          <w:p>
            <w:r>
              <w:rPr>
                <w:b/>
                <w:sz w:val="16"/>
              </w:rPr>
              <w:t>F1 macro (validación)</w:t>
            </w:r>
          </w:p>
        </w:tc>
        <w:tc>
          <w:tcPr>
            <w:tcW w:type="dxa" w:w="2160"/>
          </w:tcPr>
          <w:p>
            <w:r>
              <w:rPr>
                <w:b/>
                <w:sz w:val="16"/>
              </w:rPr>
              <w:t>Hiperparámetros</w:t>
            </w:r>
          </w:p>
        </w:tc>
      </w:tr>
      <w:tr>
        <w:tc>
          <w:tcPr>
            <w:tcW w:type="dxa" w:w="2160"/>
          </w:tcPr>
          <w:p>
            <w:r>
              <w:rPr>
                <w:sz w:val="16"/>
              </w:rPr>
              <w:t>arbol_decision</w:t>
            </w:r>
          </w:p>
        </w:tc>
        <w:tc>
          <w:tcPr>
            <w:tcW w:type="dxa" w:w="2160"/>
          </w:tcPr>
          <w:p>
            <w:r>
              <w:rPr>
                <w:sz w:val="16"/>
              </w:rPr>
              <w:t>0.6962</w:t>
            </w:r>
          </w:p>
        </w:tc>
        <w:tc>
          <w:tcPr>
            <w:tcW w:type="dxa" w:w="2160"/>
          </w:tcPr>
          <w:p>
            <w:r>
              <w:rPr>
                <w:sz w:val="16"/>
              </w:rPr>
              <w:t>0.7239</w:t>
            </w:r>
          </w:p>
        </w:tc>
        <w:tc>
          <w:tcPr>
            <w:tcW w:type="dxa" w:w="2160"/>
          </w:tcPr>
          <w:p>
            <w:r>
              <w:rPr>
                <w:sz w:val="16"/>
              </w:rPr>
              <w:t>{'max_depth': 16, 'min_samples_leaf': 4, 'min_samples_split': 10}</w:t>
            </w:r>
          </w:p>
        </w:tc>
      </w:tr>
      <w:tr>
        <w:tc>
          <w:tcPr>
            <w:tcW w:type="dxa" w:w="2160"/>
          </w:tcPr>
          <w:p>
            <w:r>
              <w:rPr>
                <w:sz w:val="16"/>
              </w:rPr>
              <w:t>random_forest</w:t>
            </w:r>
          </w:p>
        </w:tc>
        <w:tc>
          <w:tcPr>
            <w:tcW w:type="dxa" w:w="2160"/>
          </w:tcPr>
          <w:p>
            <w:r>
              <w:rPr>
                <w:sz w:val="16"/>
              </w:rPr>
              <w:t>0.7480</w:t>
            </w:r>
          </w:p>
        </w:tc>
        <w:tc>
          <w:tcPr>
            <w:tcW w:type="dxa" w:w="2160"/>
          </w:tcPr>
          <w:p>
            <w:r>
              <w:rPr>
                <w:sz w:val="16"/>
              </w:rPr>
              <w:t>0.7611</w:t>
            </w:r>
          </w:p>
        </w:tc>
        <w:tc>
          <w:tcPr>
            <w:tcW w:type="dxa" w:w="2160"/>
          </w:tcPr>
          <w:p>
            <w:r>
              <w:rPr>
                <w:sz w:val="16"/>
              </w:rPr>
              <w:t>{'max_depth': 16, 'max_features': 0.5, 'min_samples_leaf': 1, 'n_estimators': 300}</w:t>
            </w:r>
          </w:p>
        </w:tc>
      </w:tr>
    </w:tbl>
    <w:p>
      <w:r>
        <w:t>Los hiperparámetros provienen de una búsqueda real con GridSearchCV optimizando F1 macro sobre GroupKFold; el conjunto de prueba no participó en ninguna decisión.</w:t>
      </w:r>
    </w:p>
    <w:p>
      <w:r>
        <w:t>Control de integridad: aperturas del conjunto de prueba {'prueba_balanceada': 1, 'prevalencia_realista': 1}; corrida válida: True.</w:t>
      </w:r>
    </w:p>
    <w:p>
      <w:pPr>
        <w:pStyle w:val="Heading1"/>
      </w:pPr>
      <w:r>
        <w:t>2. Resultados</w:t>
      </w:r>
    </w:p>
    <w:p>
      <w:r>
        <w:t>Los resultados de esta sección corresponden al caso base, CON discrepancia modelo-planta del 5%. Son los que deben leerse como estimación del desempeño alcanzable.</w:t>
      </w:r>
    </w:p>
    <w:p>
      <w:pPr>
        <w:pStyle w:val="Heading2"/>
      </w:pPr>
      <w:r>
        <w:t>2.1 Conjunto de prueba balanceado</w:t>
      </w:r>
    </w:p>
    <w:p>
      <w:r>
        <w:t>Muestras evaluadas: 1997</w:t>
      </w:r>
    </w:p>
    <w:p>
      <w:pPr>
        <w:pStyle w:val="Heading3"/>
      </w:pPr>
      <w:r>
        <w:t>Recall y F1 por clase</w:t>
      </w:r>
    </w:p>
    <w:p>
      <w:r>
        <w:t>Métricas principales del informe. Se reportan por clase y nunca solo como promedio. Las clases con soporte menor a 50 muestras llevan intervalo de confianza de Wilson al 95 %: una precisión puntual sobre unas decenas de casos no significa nada sin su intervalo.</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6"/>
              </w:rPr>
              <w:t>Clase</w:t>
            </w:r>
          </w:p>
        </w:tc>
        <w:tc>
          <w:tcPr>
            <w:tcW w:type="dxa" w:w="1080"/>
          </w:tcPr>
          <w:p>
            <w:r>
              <w:rPr>
                <w:b/>
                <w:sz w:val="16"/>
              </w:rPr>
              <w:t>Recall</w:t>
            </w:r>
          </w:p>
        </w:tc>
        <w:tc>
          <w:tcPr>
            <w:tcW w:type="dxa" w:w="1080"/>
          </w:tcPr>
          <w:p>
            <w:r>
              <w:rPr>
                <w:b/>
                <w:sz w:val="16"/>
              </w:rPr>
              <w:t>IC95 recall</w:t>
            </w:r>
          </w:p>
        </w:tc>
        <w:tc>
          <w:tcPr>
            <w:tcW w:type="dxa" w:w="1080"/>
          </w:tcPr>
          <w:p>
            <w:r>
              <w:rPr>
                <w:b/>
                <w:sz w:val="16"/>
              </w:rPr>
              <w:t>Precisión</w:t>
            </w:r>
          </w:p>
        </w:tc>
        <w:tc>
          <w:tcPr>
            <w:tcW w:type="dxa" w:w="1080"/>
          </w:tcPr>
          <w:p>
            <w:r>
              <w:rPr>
                <w:b/>
                <w:sz w:val="16"/>
              </w:rPr>
              <w:t>IC95 precisión</w:t>
            </w:r>
          </w:p>
        </w:tc>
        <w:tc>
          <w:tcPr>
            <w:tcW w:type="dxa" w:w="1080"/>
          </w:tcPr>
          <w:p>
            <w:r>
              <w:rPr>
                <w:b/>
                <w:sz w:val="16"/>
              </w:rPr>
              <w:t>F1</w:t>
            </w:r>
          </w:p>
        </w:tc>
        <w:tc>
          <w:tcPr>
            <w:tcW w:type="dxa" w:w="1080"/>
          </w:tcPr>
          <w:p>
            <w:r>
              <w:rPr>
                <w:b/>
                <w:sz w:val="16"/>
              </w:rPr>
              <w:t>PR-AUC</w:t>
            </w:r>
          </w:p>
        </w:tc>
        <w:tc>
          <w:tcPr>
            <w:tcW w:type="dxa" w:w="1080"/>
          </w:tcPr>
          <w:p>
            <w:r>
              <w:rPr>
                <w:b/>
                <w:sz w:val="16"/>
              </w:rPr>
              <w:t>Soporte</w:t>
            </w:r>
          </w:p>
        </w:tc>
      </w:tr>
      <w:tr>
        <w:tc>
          <w:tcPr>
            <w:tcW w:type="dxa" w:w="1080"/>
          </w:tcPr>
          <w:p>
            <w:r>
              <w:rPr>
                <w:sz w:val="16"/>
              </w:rPr>
              <w:t>sano</w:t>
            </w:r>
          </w:p>
        </w:tc>
        <w:tc>
          <w:tcPr>
            <w:tcW w:type="dxa" w:w="1080"/>
          </w:tcPr>
          <w:p>
            <w:r>
              <w:rPr>
                <w:sz w:val="16"/>
              </w:rPr>
              <w:t>0.656</w:t>
            </w:r>
          </w:p>
        </w:tc>
        <w:tc>
          <w:tcPr>
            <w:tcW w:type="dxa" w:w="1080"/>
          </w:tcPr>
          <w:p>
            <w:r>
              <w:rPr>
                <w:sz w:val="16"/>
              </w:rPr>
              <w:t>—</w:t>
            </w:r>
          </w:p>
        </w:tc>
        <w:tc>
          <w:tcPr>
            <w:tcW w:type="dxa" w:w="1080"/>
          </w:tcPr>
          <w:p>
            <w:r>
              <w:rPr>
                <w:sz w:val="16"/>
              </w:rPr>
              <w:t>0.341</w:t>
            </w:r>
          </w:p>
        </w:tc>
        <w:tc>
          <w:tcPr>
            <w:tcW w:type="dxa" w:w="1080"/>
          </w:tcPr>
          <w:p>
            <w:r>
              <w:rPr>
                <w:sz w:val="16"/>
              </w:rPr>
              <w:t>—</w:t>
            </w:r>
          </w:p>
        </w:tc>
        <w:tc>
          <w:tcPr>
            <w:tcW w:type="dxa" w:w="1080"/>
          </w:tcPr>
          <w:p>
            <w:r>
              <w:rPr>
                <w:sz w:val="16"/>
              </w:rPr>
              <w:t>0.449</w:t>
            </w:r>
          </w:p>
        </w:tc>
        <w:tc>
          <w:tcPr>
            <w:tcW w:type="dxa" w:w="1080"/>
          </w:tcPr>
          <w:p>
            <w:r>
              <w:rPr>
                <w:sz w:val="16"/>
              </w:rPr>
              <w:t>0.355</w:t>
            </w:r>
          </w:p>
        </w:tc>
        <w:tc>
          <w:tcPr>
            <w:tcW w:type="dxa" w:w="1080"/>
          </w:tcPr>
          <w:p>
            <w:r>
              <w:rPr>
                <w:sz w:val="16"/>
              </w:rPr>
              <w:t>183</w:t>
            </w:r>
          </w:p>
        </w:tc>
      </w:tr>
      <w:tr>
        <w:tc>
          <w:tcPr>
            <w:tcW w:type="dxa" w:w="1080"/>
          </w:tcPr>
          <w:p>
            <w:r>
              <w:rPr>
                <w:sz w:val="16"/>
              </w:rPr>
              <w:t>condensador_sucio</w:t>
            </w:r>
          </w:p>
        </w:tc>
        <w:tc>
          <w:tcPr>
            <w:tcW w:type="dxa" w:w="1080"/>
          </w:tcPr>
          <w:p>
            <w:r>
              <w:rPr>
                <w:sz w:val="16"/>
              </w:rPr>
              <w:t>0.907</w:t>
            </w:r>
          </w:p>
        </w:tc>
        <w:tc>
          <w:tcPr>
            <w:tcW w:type="dxa" w:w="1080"/>
          </w:tcPr>
          <w:p>
            <w:r>
              <w:rPr>
                <w:sz w:val="16"/>
              </w:rPr>
              <w:t>—</w:t>
            </w:r>
          </w:p>
        </w:tc>
        <w:tc>
          <w:tcPr>
            <w:tcW w:type="dxa" w:w="1080"/>
          </w:tcPr>
          <w:p>
            <w:r>
              <w:rPr>
                <w:sz w:val="16"/>
              </w:rPr>
              <w:t>0.938</w:t>
            </w:r>
          </w:p>
        </w:tc>
        <w:tc>
          <w:tcPr>
            <w:tcW w:type="dxa" w:w="1080"/>
          </w:tcPr>
          <w:p>
            <w:r>
              <w:rPr>
                <w:sz w:val="16"/>
              </w:rPr>
              <w:t>—</w:t>
            </w:r>
          </w:p>
        </w:tc>
        <w:tc>
          <w:tcPr>
            <w:tcW w:type="dxa" w:w="1080"/>
          </w:tcPr>
          <w:p>
            <w:r>
              <w:rPr>
                <w:sz w:val="16"/>
              </w:rPr>
              <w:t>0.922</w:t>
            </w:r>
          </w:p>
        </w:tc>
        <w:tc>
          <w:tcPr>
            <w:tcW w:type="dxa" w:w="1080"/>
          </w:tcPr>
          <w:p>
            <w:r>
              <w:rPr>
                <w:sz w:val="16"/>
              </w:rPr>
              <w:t>0.967</w:t>
            </w:r>
          </w:p>
        </w:tc>
        <w:tc>
          <w:tcPr>
            <w:tcW w:type="dxa" w:w="1080"/>
          </w:tcPr>
          <w:p>
            <w:r>
              <w:rPr>
                <w:sz w:val="16"/>
              </w:rPr>
              <w:t>183</w:t>
            </w:r>
          </w:p>
        </w:tc>
      </w:tr>
      <w:tr>
        <w:tc>
          <w:tcPr>
            <w:tcW w:type="dxa" w:w="1080"/>
          </w:tcPr>
          <w:p>
            <w:r>
              <w:rPr>
                <w:sz w:val="16"/>
              </w:rPr>
              <w:t>incrustacion_evaporador</w:t>
            </w:r>
          </w:p>
        </w:tc>
        <w:tc>
          <w:tcPr>
            <w:tcW w:type="dxa" w:w="1080"/>
          </w:tcPr>
          <w:p>
            <w:r>
              <w:rPr>
                <w:sz w:val="16"/>
              </w:rPr>
              <w:t>0.743</w:t>
            </w:r>
          </w:p>
        </w:tc>
        <w:tc>
          <w:tcPr>
            <w:tcW w:type="dxa" w:w="1080"/>
          </w:tcPr>
          <w:p>
            <w:r>
              <w:rPr>
                <w:sz w:val="16"/>
              </w:rPr>
              <w:t>—</w:t>
            </w:r>
          </w:p>
        </w:tc>
        <w:tc>
          <w:tcPr>
            <w:tcW w:type="dxa" w:w="1080"/>
          </w:tcPr>
          <w:p>
            <w:r>
              <w:rPr>
                <w:sz w:val="16"/>
              </w:rPr>
              <w:t>0.727</w:t>
            </w:r>
          </w:p>
        </w:tc>
        <w:tc>
          <w:tcPr>
            <w:tcW w:type="dxa" w:w="1080"/>
          </w:tcPr>
          <w:p>
            <w:r>
              <w:rPr>
                <w:sz w:val="16"/>
              </w:rPr>
              <w:t>—</w:t>
            </w:r>
          </w:p>
        </w:tc>
        <w:tc>
          <w:tcPr>
            <w:tcW w:type="dxa" w:w="1080"/>
          </w:tcPr>
          <w:p>
            <w:r>
              <w:rPr>
                <w:sz w:val="16"/>
              </w:rPr>
              <w:t>0.735</w:t>
            </w:r>
          </w:p>
        </w:tc>
        <w:tc>
          <w:tcPr>
            <w:tcW w:type="dxa" w:w="1080"/>
          </w:tcPr>
          <w:p>
            <w:r>
              <w:rPr>
                <w:sz w:val="16"/>
              </w:rPr>
              <w:t>0.834</w:t>
            </w:r>
          </w:p>
        </w:tc>
        <w:tc>
          <w:tcPr>
            <w:tcW w:type="dxa" w:w="1080"/>
          </w:tcPr>
          <w:p>
            <w:r>
              <w:rPr>
                <w:sz w:val="16"/>
              </w:rPr>
              <w:t>183</w:t>
            </w:r>
          </w:p>
        </w:tc>
      </w:tr>
      <w:tr>
        <w:tc>
          <w:tcPr>
            <w:tcW w:type="dxa" w:w="1080"/>
          </w:tcPr>
          <w:p>
            <w:r>
              <w:rPr>
                <w:sz w:val="16"/>
              </w:rPr>
              <w:t>caudal_agua_bajo</w:t>
            </w:r>
          </w:p>
        </w:tc>
        <w:tc>
          <w:tcPr>
            <w:tcW w:type="dxa" w:w="1080"/>
          </w:tcPr>
          <w:p>
            <w:r>
              <w:rPr>
                <w:sz w:val="16"/>
              </w:rPr>
              <w:t>0.820</w:t>
            </w:r>
          </w:p>
        </w:tc>
        <w:tc>
          <w:tcPr>
            <w:tcW w:type="dxa" w:w="1080"/>
          </w:tcPr>
          <w:p>
            <w:r>
              <w:rPr>
                <w:sz w:val="16"/>
              </w:rPr>
              <w:t>—</w:t>
            </w:r>
          </w:p>
        </w:tc>
        <w:tc>
          <w:tcPr>
            <w:tcW w:type="dxa" w:w="1080"/>
          </w:tcPr>
          <w:p>
            <w:r>
              <w:rPr>
                <w:sz w:val="16"/>
              </w:rPr>
              <w:t>0.926</w:t>
            </w:r>
          </w:p>
        </w:tc>
        <w:tc>
          <w:tcPr>
            <w:tcW w:type="dxa" w:w="1080"/>
          </w:tcPr>
          <w:p>
            <w:r>
              <w:rPr>
                <w:sz w:val="16"/>
              </w:rPr>
              <w:t>—</w:t>
            </w:r>
          </w:p>
        </w:tc>
        <w:tc>
          <w:tcPr>
            <w:tcW w:type="dxa" w:w="1080"/>
          </w:tcPr>
          <w:p>
            <w:r>
              <w:rPr>
                <w:sz w:val="16"/>
              </w:rPr>
              <w:t>0.870</w:t>
            </w:r>
          </w:p>
        </w:tc>
        <w:tc>
          <w:tcPr>
            <w:tcW w:type="dxa" w:w="1080"/>
          </w:tcPr>
          <w:p>
            <w:r>
              <w:rPr>
                <w:sz w:val="16"/>
              </w:rPr>
              <w:t>0.940</w:t>
            </w:r>
          </w:p>
        </w:tc>
        <w:tc>
          <w:tcPr>
            <w:tcW w:type="dxa" w:w="1080"/>
          </w:tcPr>
          <w:p>
            <w:r>
              <w:rPr>
                <w:sz w:val="16"/>
              </w:rPr>
              <w:t>183</w:t>
            </w:r>
          </w:p>
        </w:tc>
      </w:tr>
      <w:tr>
        <w:tc>
          <w:tcPr>
            <w:tcW w:type="dxa" w:w="1080"/>
          </w:tcPr>
          <w:p>
            <w:r>
              <w:rPr>
                <w:sz w:val="16"/>
              </w:rPr>
              <w:t>carga_baja</w:t>
            </w:r>
          </w:p>
        </w:tc>
        <w:tc>
          <w:tcPr>
            <w:tcW w:type="dxa" w:w="1080"/>
          </w:tcPr>
          <w:p>
            <w:r>
              <w:rPr>
                <w:sz w:val="16"/>
              </w:rPr>
              <w:t>0.922</w:t>
            </w:r>
          </w:p>
        </w:tc>
        <w:tc>
          <w:tcPr>
            <w:tcW w:type="dxa" w:w="1080"/>
          </w:tcPr>
          <w:p>
            <w:r>
              <w:rPr>
                <w:sz w:val="16"/>
              </w:rPr>
              <w:t>—</w:t>
            </w:r>
          </w:p>
        </w:tc>
        <w:tc>
          <w:tcPr>
            <w:tcW w:type="dxa" w:w="1080"/>
          </w:tcPr>
          <w:p>
            <w:r>
              <w:rPr>
                <w:sz w:val="16"/>
              </w:rPr>
              <w:t>0.981</w:t>
            </w:r>
          </w:p>
        </w:tc>
        <w:tc>
          <w:tcPr>
            <w:tcW w:type="dxa" w:w="1080"/>
          </w:tcPr>
          <w:p>
            <w:r>
              <w:rPr>
                <w:sz w:val="16"/>
              </w:rPr>
              <w:t>—</w:t>
            </w:r>
          </w:p>
        </w:tc>
        <w:tc>
          <w:tcPr>
            <w:tcW w:type="dxa" w:w="1080"/>
          </w:tcPr>
          <w:p>
            <w:r>
              <w:rPr>
                <w:sz w:val="16"/>
              </w:rPr>
              <w:t>0.951</w:t>
            </w:r>
          </w:p>
        </w:tc>
        <w:tc>
          <w:tcPr>
            <w:tcW w:type="dxa" w:w="1080"/>
          </w:tcPr>
          <w:p>
            <w:r>
              <w:rPr>
                <w:sz w:val="16"/>
              </w:rPr>
              <w:t>0.992</w:t>
            </w:r>
          </w:p>
        </w:tc>
        <w:tc>
          <w:tcPr>
            <w:tcW w:type="dxa" w:w="1080"/>
          </w:tcPr>
          <w:p>
            <w:r>
              <w:rPr>
                <w:sz w:val="16"/>
              </w:rPr>
              <w:t>167</w:t>
            </w:r>
          </w:p>
        </w:tc>
      </w:tr>
      <w:tr>
        <w:tc>
          <w:tcPr>
            <w:tcW w:type="dxa" w:w="1080"/>
          </w:tcPr>
          <w:p>
            <w:r>
              <w:rPr>
                <w:sz w:val="16"/>
              </w:rPr>
              <w:t>sobrecarga</w:t>
            </w:r>
          </w:p>
        </w:tc>
        <w:tc>
          <w:tcPr>
            <w:tcW w:type="dxa" w:w="1080"/>
          </w:tcPr>
          <w:p>
            <w:r>
              <w:rPr>
                <w:sz w:val="16"/>
              </w:rPr>
              <w:t>0.617</w:t>
            </w:r>
          </w:p>
        </w:tc>
        <w:tc>
          <w:tcPr>
            <w:tcW w:type="dxa" w:w="1080"/>
          </w:tcPr>
          <w:p>
            <w:r>
              <w:rPr>
                <w:sz w:val="16"/>
              </w:rPr>
              <w:t>—</w:t>
            </w:r>
          </w:p>
        </w:tc>
        <w:tc>
          <w:tcPr>
            <w:tcW w:type="dxa" w:w="1080"/>
          </w:tcPr>
          <w:p>
            <w:r>
              <w:rPr>
                <w:sz w:val="16"/>
              </w:rPr>
              <w:t>0.685</w:t>
            </w:r>
          </w:p>
        </w:tc>
        <w:tc>
          <w:tcPr>
            <w:tcW w:type="dxa" w:w="1080"/>
          </w:tcPr>
          <w:p>
            <w:r>
              <w:rPr>
                <w:sz w:val="16"/>
              </w:rPr>
              <w:t>—</w:t>
            </w:r>
          </w:p>
        </w:tc>
        <w:tc>
          <w:tcPr>
            <w:tcW w:type="dxa" w:w="1080"/>
          </w:tcPr>
          <w:p>
            <w:r>
              <w:rPr>
                <w:sz w:val="16"/>
              </w:rPr>
              <w:t>0.649</w:t>
            </w:r>
          </w:p>
        </w:tc>
        <w:tc>
          <w:tcPr>
            <w:tcW w:type="dxa" w:w="1080"/>
          </w:tcPr>
          <w:p>
            <w:r>
              <w:rPr>
                <w:sz w:val="16"/>
              </w:rPr>
              <w:t>0.742</w:t>
            </w:r>
          </w:p>
        </w:tc>
        <w:tc>
          <w:tcPr>
            <w:tcW w:type="dxa" w:w="1080"/>
          </w:tcPr>
          <w:p>
            <w:r>
              <w:rPr>
                <w:sz w:val="16"/>
              </w:rPr>
              <w:t>183</w:t>
            </w:r>
          </w:p>
        </w:tc>
      </w:tr>
      <w:tr>
        <w:tc>
          <w:tcPr>
            <w:tcW w:type="dxa" w:w="1080"/>
          </w:tcPr>
          <w:p>
            <w:r>
              <w:rPr>
                <w:sz w:val="16"/>
              </w:rPr>
              <w:t>txv_restringida</w:t>
            </w:r>
          </w:p>
        </w:tc>
        <w:tc>
          <w:tcPr>
            <w:tcW w:type="dxa" w:w="1080"/>
          </w:tcPr>
          <w:p>
            <w:r>
              <w:rPr>
                <w:sz w:val="16"/>
              </w:rPr>
              <w:t>0.563</w:t>
            </w:r>
          </w:p>
        </w:tc>
        <w:tc>
          <w:tcPr>
            <w:tcW w:type="dxa" w:w="1080"/>
          </w:tcPr>
          <w:p>
            <w:r>
              <w:rPr>
                <w:sz w:val="16"/>
              </w:rPr>
              <w:t>—</w:t>
            </w:r>
          </w:p>
        </w:tc>
        <w:tc>
          <w:tcPr>
            <w:tcW w:type="dxa" w:w="1080"/>
          </w:tcPr>
          <w:p>
            <w:r>
              <w:rPr>
                <w:sz w:val="16"/>
              </w:rPr>
              <w:t>0.475</w:t>
            </w:r>
          </w:p>
        </w:tc>
        <w:tc>
          <w:tcPr>
            <w:tcW w:type="dxa" w:w="1080"/>
          </w:tcPr>
          <w:p>
            <w:r>
              <w:rPr>
                <w:sz w:val="16"/>
              </w:rPr>
              <w:t>—</w:t>
            </w:r>
          </w:p>
        </w:tc>
        <w:tc>
          <w:tcPr>
            <w:tcW w:type="dxa" w:w="1080"/>
          </w:tcPr>
          <w:p>
            <w:r>
              <w:rPr>
                <w:sz w:val="16"/>
              </w:rPr>
              <w:t>0.515</w:t>
            </w:r>
          </w:p>
        </w:tc>
        <w:tc>
          <w:tcPr>
            <w:tcW w:type="dxa" w:w="1080"/>
          </w:tcPr>
          <w:p>
            <w:r>
              <w:rPr>
                <w:sz w:val="16"/>
              </w:rPr>
              <w:t>0.563</w:t>
            </w:r>
          </w:p>
        </w:tc>
        <w:tc>
          <w:tcPr>
            <w:tcW w:type="dxa" w:w="1080"/>
          </w:tcPr>
          <w:p>
            <w:r>
              <w:rPr>
                <w:sz w:val="16"/>
              </w:rPr>
              <w:t>183</w:t>
            </w:r>
          </w:p>
        </w:tc>
      </w:tr>
      <w:tr>
        <w:tc>
          <w:tcPr>
            <w:tcW w:type="dxa" w:w="1080"/>
          </w:tcPr>
          <w:p>
            <w:r>
              <w:rPr>
                <w:sz w:val="16"/>
              </w:rPr>
              <w:t>txv_sobrealimenta</w:t>
            </w:r>
          </w:p>
        </w:tc>
        <w:tc>
          <w:tcPr>
            <w:tcW w:type="dxa" w:w="1080"/>
          </w:tcPr>
          <w:p>
            <w:r>
              <w:rPr>
                <w:sz w:val="16"/>
              </w:rPr>
              <w:t>0.836</w:t>
            </w:r>
          </w:p>
        </w:tc>
        <w:tc>
          <w:tcPr>
            <w:tcW w:type="dxa" w:w="1080"/>
          </w:tcPr>
          <w:p>
            <w:r>
              <w:rPr>
                <w:sz w:val="16"/>
              </w:rPr>
              <w:t>—</w:t>
            </w:r>
          </w:p>
        </w:tc>
        <w:tc>
          <w:tcPr>
            <w:tcW w:type="dxa" w:w="1080"/>
          </w:tcPr>
          <w:p>
            <w:r>
              <w:rPr>
                <w:sz w:val="16"/>
              </w:rPr>
              <w:t>0.944</w:t>
            </w:r>
          </w:p>
        </w:tc>
        <w:tc>
          <w:tcPr>
            <w:tcW w:type="dxa" w:w="1080"/>
          </w:tcPr>
          <w:p>
            <w:r>
              <w:rPr>
                <w:sz w:val="16"/>
              </w:rPr>
              <w:t>—</w:t>
            </w:r>
          </w:p>
        </w:tc>
        <w:tc>
          <w:tcPr>
            <w:tcW w:type="dxa" w:w="1080"/>
          </w:tcPr>
          <w:p>
            <w:r>
              <w:rPr>
                <w:sz w:val="16"/>
              </w:rPr>
              <w:t>0.887</w:t>
            </w:r>
          </w:p>
        </w:tc>
        <w:tc>
          <w:tcPr>
            <w:tcW w:type="dxa" w:w="1080"/>
          </w:tcPr>
          <w:p>
            <w:r>
              <w:rPr>
                <w:sz w:val="16"/>
              </w:rPr>
              <w:t>0.959</w:t>
            </w:r>
          </w:p>
        </w:tc>
        <w:tc>
          <w:tcPr>
            <w:tcW w:type="dxa" w:w="1080"/>
          </w:tcPr>
          <w:p>
            <w:r>
              <w:rPr>
                <w:sz w:val="16"/>
              </w:rPr>
              <w:t>183</w:t>
            </w:r>
          </w:p>
        </w:tc>
      </w:tr>
      <w:tr>
        <w:tc>
          <w:tcPr>
            <w:tcW w:type="dxa" w:w="1080"/>
          </w:tcPr>
          <w:p>
            <w:r>
              <w:rPr>
                <w:sz w:val="16"/>
              </w:rPr>
              <w:t>compresor_desgastado</w:t>
            </w:r>
          </w:p>
        </w:tc>
        <w:tc>
          <w:tcPr>
            <w:tcW w:type="dxa" w:w="1080"/>
          </w:tcPr>
          <w:p>
            <w:r>
              <w:rPr>
                <w:sz w:val="16"/>
              </w:rPr>
              <w:t>0.738</w:t>
            </w:r>
          </w:p>
        </w:tc>
        <w:tc>
          <w:tcPr>
            <w:tcW w:type="dxa" w:w="1080"/>
          </w:tcPr>
          <w:p>
            <w:r>
              <w:rPr>
                <w:sz w:val="16"/>
              </w:rPr>
              <w:t>—</w:t>
            </w:r>
          </w:p>
        </w:tc>
        <w:tc>
          <w:tcPr>
            <w:tcW w:type="dxa" w:w="1080"/>
          </w:tcPr>
          <w:p>
            <w:r>
              <w:rPr>
                <w:sz w:val="16"/>
              </w:rPr>
              <w:t>0.918</w:t>
            </w:r>
          </w:p>
        </w:tc>
        <w:tc>
          <w:tcPr>
            <w:tcW w:type="dxa" w:w="1080"/>
          </w:tcPr>
          <w:p>
            <w:r>
              <w:rPr>
                <w:sz w:val="16"/>
              </w:rPr>
              <w:t>—</w:t>
            </w:r>
          </w:p>
        </w:tc>
        <w:tc>
          <w:tcPr>
            <w:tcW w:type="dxa" w:w="1080"/>
          </w:tcPr>
          <w:p>
            <w:r>
              <w:rPr>
                <w:sz w:val="16"/>
              </w:rPr>
              <w:t>0.818</w:t>
            </w:r>
          </w:p>
        </w:tc>
        <w:tc>
          <w:tcPr>
            <w:tcW w:type="dxa" w:w="1080"/>
          </w:tcPr>
          <w:p>
            <w:r>
              <w:rPr>
                <w:sz w:val="16"/>
              </w:rPr>
              <w:t>0.883</w:t>
            </w:r>
          </w:p>
        </w:tc>
        <w:tc>
          <w:tcPr>
            <w:tcW w:type="dxa" w:w="1080"/>
          </w:tcPr>
          <w:p>
            <w:r>
              <w:rPr>
                <w:sz w:val="16"/>
              </w:rPr>
              <w:t>183</w:t>
            </w:r>
          </w:p>
        </w:tc>
      </w:tr>
      <w:tr>
        <w:tc>
          <w:tcPr>
            <w:tcW w:type="dxa" w:w="1080"/>
          </w:tcPr>
          <w:p>
            <w:r>
              <w:rPr>
                <w:sz w:val="16"/>
              </w:rPr>
              <w:t>incondensables</w:t>
            </w:r>
          </w:p>
        </w:tc>
        <w:tc>
          <w:tcPr>
            <w:tcW w:type="dxa" w:w="1080"/>
          </w:tcPr>
          <w:p>
            <w:r>
              <w:rPr>
                <w:sz w:val="16"/>
              </w:rPr>
              <w:t>0.891</w:t>
            </w:r>
          </w:p>
        </w:tc>
        <w:tc>
          <w:tcPr>
            <w:tcW w:type="dxa" w:w="1080"/>
          </w:tcPr>
          <w:p>
            <w:r>
              <w:rPr>
                <w:sz w:val="16"/>
              </w:rPr>
              <w:t>—</w:t>
            </w:r>
          </w:p>
        </w:tc>
        <w:tc>
          <w:tcPr>
            <w:tcW w:type="dxa" w:w="1080"/>
          </w:tcPr>
          <w:p>
            <w:r>
              <w:rPr>
                <w:sz w:val="16"/>
              </w:rPr>
              <w:t>0.942</w:t>
            </w:r>
          </w:p>
        </w:tc>
        <w:tc>
          <w:tcPr>
            <w:tcW w:type="dxa" w:w="1080"/>
          </w:tcPr>
          <w:p>
            <w:r>
              <w:rPr>
                <w:sz w:val="16"/>
              </w:rPr>
              <w:t>—</w:t>
            </w:r>
          </w:p>
        </w:tc>
        <w:tc>
          <w:tcPr>
            <w:tcW w:type="dxa" w:w="1080"/>
          </w:tcPr>
          <w:p>
            <w:r>
              <w:rPr>
                <w:sz w:val="16"/>
              </w:rPr>
              <w:t>0.916</w:t>
            </w:r>
          </w:p>
        </w:tc>
        <w:tc>
          <w:tcPr>
            <w:tcW w:type="dxa" w:w="1080"/>
          </w:tcPr>
          <w:p>
            <w:r>
              <w:rPr>
                <w:sz w:val="16"/>
              </w:rPr>
              <w:t>0.959</w:t>
            </w:r>
          </w:p>
        </w:tc>
        <w:tc>
          <w:tcPr>
            <w:tcW w:type="dxa" w:w="1080"/>
          </w:tcPr>
          <w:p>
            <w:r>
              <w:rPr>
                <w:sz w:val="16"/>
              </w:rPr>
              <w:t>183</w:t>
            </w:r>
          </w:p>
        </w:tc>
      </w:tr>
      <w:tr>
        <w:tc>
          <w:tcPr>
            <w:tcW w:type="dxa" w:w="1080"/>
          </w:tcPr>
          <w:p>
            <w:r>
              <w:rPr>
                <w:sz w:val="16"/>
              </w:rPr>
              <w:t>restriccion_linea_liquido</w:t>
            </w:r>
          </w:p>
        </w:tc>
        <w:tc>
          <w:tcPr>
            <w:tcW w:type="dxa" w:w="1080"/>
          </w:tcPr>
          <w:p>
            <w:r>
              <w:rPr>
                <w:sz w:val="16"/>
              </w:rPr>
              <w:t>0.459</w:t>
            </w:r>
          </w:p>
        </w:tc>
        <w:tc>
          <w:tcPr>
            <w:tcW w:type="dxa" w:w="1080"/>
          </w:tcPr>
          <w:p>
            <w:r>
              <w:rPr>
                <w:sz w:val="16"/>
              </w:rPr>
              <w:t>—</w:t>
            </w:r>
          </w:p>
        </w:tc>
        <w:tc>
          <w:tcPr>
            <w:tcW w:type="dxa" w:w="1080"/>
          </w:tcPr>
          <w:p>
            <w:r>
              <w:rPr>
                <w:sz w:val="16"/>
              </w:rPr>
              <w:t>0.857</w:t>
            </w:r>
          </w:p>
        </w:tc>
        <w:tc>
          <w:tcPr>
            <w:tcW w:type="dxa" w:w="1080"/>
          </w:tcPr>
          <w:p>
            <w:r>
              <w:rPr>
                <w:sz w:val="16"/>
              </w:rPr>
              <w:t>—</w:t>
            </w:r>
          </w:p>
        </w:tc>
        <w:tc>
          <w:tcPr>
            <w:tcW w:type="dxa" w:w="1080"/>
          </w:tcPr>
          <w:p>
            <w:r>
              <w:rPr>
                <w:sz w:val="16"/>
              </w:rPr>
              <w:t>0.598</w:t>
            </w:r>
          </w:p>
        </w:tc>
        <w:tc>
          <w:tcPr>
            <w:tcW w:type="dxa" w:w="1080"/>
          </w:tcPr>
          <w:p>
            <w:r>
              <w:rPr>
                <w:sz w:val="16"/>
              </w:rPr>
              <w:t>0.690</w:t>
            </w:r>
          </w:p>
        </w:tc>
        <w:tc>
          <w:tcPr>
            <w:tcW w:type="dxa" w:w="1080"/>
          </w:tcPr>
          <w:p>
            <w:r>
              <w:rPr>
                <w:sz w:val="16"/>
              </w:rPr>
              <w:t>183</w:t>
            </w:r>
          </w:p>
        </w:tc>
      </w:tr>
    </w:tbl>
    <w:p/>
    <w:p>
      <w:r>
        <w:t>F1 macro: 0.7554    F1 ponderado: 0.7538    PR-AUC macro: 0.8076</w:t>
      </w:r>
    </w:p>
    <w:p>
      <w:pPr>
        <w:pStyle w:val="Heading3"/>
      </w:pPr>
      <w:r>
        <w:t>Reporte de clasificación</w:t>
      </w:r>
    </w:p>
    <w:p>
      <w:r>
        <w:rPr>
          <w:rFonts w:ascii="Consolas" w:hAnsi="Consolas"/>
          <w:sz w:val="14"/>
        </w:rPr>
        <w:t xml:space="preserve">                           precision    recall  f1-score   support</w:t>
        <w:br/>
        <w:br/>
        <w:t xml:space="preserve">                     sano       0.34      0.66      0.45       183</w:t>
        <w:br/>
        <w:t xml:space="preserve">        condensador_sucio       0.94      0.91      0.92       183</w:t>
        <w:br/>
        <w:t xml:space="preserve">  incrustacion_evaporador       0.73      0.74      0.74       183</w:t>
        <w:br/>
        <w:t xml:space="preserve">         caudal_agua_bajo       0.93      0.82      0.87       183</w:t>
        <w:br/>
        <w:t xml:space="preserve">               carga_baja       0.98      0.92      0.95       167</w:t>
        <w:br/>
        <w:t xml:space="preserve">               sobrecarga       0.68      0.62      0.65       183</w:t>
        <w:br/>
        <w:t xml:space="preserve">          txv_restringida       0.47      0.56      0.52       183</w:t>
        <w:br/>
        <w:t xml:space="preserve">        txv_sobrealimenta       0.94      0.84      0.89       183</w:t>
        <w:br/>
        <w:t xml:space="preserve">     compresor_desgastado       0.92      0.74      0.82       183</w:t>
        <w:br/>
        <w:t xml:space="preserve">           incondensables       0.94      0.89      0.92       183</w:t>
        <w:br/>
        <w:t>restriccion_linea_liquido       0.86      0.46      0.60       183</w:t>
        <w:br/>
        <w:br/>
        <w:t xml:space="preserve">                 accuracy                           0.74      1997</w:t>
        <w:br/>
        <w:t xml:space="preserve">                macro avg       0.79      0.74      0.76      1997</w:t>
        <w:br/>
        <w:t xml:space="preserve">             weighted avg       0.79      0.74      0.75      1997</w:t>
        <w:br/>
      </w:r>
    </w:p>
    <w:p>
      <w:pPr>
        <w:pStyle w:val="Heading3"/>
      </w:pPr>
      <w:r>
        <w:t>Exactitud global y proporción de clases</w:t>
      </w:r>
    </w:p>
    <w:p>
      <w:r>
        <w:t>Exactitud global: 0.7396</w:t>
      </w:r>
    </w:p>
    <w:p>
      <w:r>
        <w:t>Proporción de clases: sano 9.2%, condensador_sucio 9.2%, incrustacion_evaporador 9.2%, caudal_agua_bajo 9.2%, sobrecarga 9.2%, txv_restringida 9.2%, txv_sobrealimenta 9.2%, compresor_desgastado 9.2%, incondensables 9.2%, restriccion_linea_liquido 9.2%, carga_baja 8.4%</w:t>
      </w:r>
    </w:p>
    <w:p>
      <w:r>
        <w:t>Un clasificador trivial que predijera siempre «sano» obtendría 0.0916 de exactitud y CERO utilidad diagnóstica. El modelo obtiene 0.7396: +0.6480 por encima del trivial.</w:t>
      </w:r>
    </w:p>
    <w:p>
      <w:r>
        <w:t>Por eso la exactitud se reporta al final y acompañada de la proporción de clases, y por eso las métricas principales del informe son el recall y el F1 por clase (Saito y Rehmsmeier, 2015).</w:t>
      </w:r>
    </w:p>
    <w:p>
      <w:pPr>
        <w:pStyle w:val="Heading2"/>
      </w:pPr>
      <w:r>
        <w:t>2.2 Conjunto de prevalencia realista de campo</w:t>
      </w:r>
    </w:p>
    <w:p>
      <w:r>
        <w:t>Muestras evaluadas: 9964</w:t>
      </w:r>
    </w:p>
    <w:p>
      <w:pPr>
        <w:pStyle w:val="Heading3"/>
      </w:pPr>
      <w:r>
        <w:t>Recall y F1 por clase</w:t>
      </w:r>
    </w:p>
    <w:p>
      <w:r>
        <w:t>Métricas principales del informe. Se reportan por clase y nunca solo como promedio. Las clases con soporte menor a 50 muestras llevan intervalo de confianza de Wilson al 95 %: una precisión puntual sobre unas decenas de casos no significa nada sin su intervalo.</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6"/>
              </w:rPr>
              <w:t>Clase</w:t>
            </w:r>
          </w:p>
        </w:tc>
        <w:tc>
          <w:tcPr>
            <w:tcW w:type="dxa" w:w="1080"/>
          </w:tcPr>
          <w:p>
            <w:r>
              <w:rPr>
                <w:b/>
                <w:sz w:val="16"/>
              </w:rPr>
              <w:t>Recall</w:t>
            </w:r>
          </w:p>
        </w:tc>
        <w:tc>
          <w:tcPr>
            <w:tcW w:type="dxa" w:w="1080"/>
          </w:tcPr>
          <w:p>
            <w:r>
              <w:rPr>
                <w:b/>
                <w:sz w:val="16"/>
              </w:rPr>
              <w:t>IC95 recall</w:t>
            </w:r>
          </w:p>
        </w:tc>
        <w:tc>
          <w:tcPr>
            <w:tcW w:type="dxa" w:w="1080"/>
          </w:tcPr>
          <w:p>
            <w:r>
              <w:rPr>
                <w:b/>
                <w:sz w:val="16"/>
              </w:rPr>
              <w:t>Precisión</w:t>
            </w:r>
          </w:p>
        </w:tc>
        <w:tc>
          <w:tcPr>
            <w:tcW w:type="dxa" w:w="1080"/>
          </w:tcPr>
          <w:p>
            <w:r>
              <w:rPr>
                <w:b/>
                <w:sz w:val="16"/>
              </w:rPr>
              <w:t>IC95 precisión</w:t>
            </w:r>
          </w:p>
        </w:tc>
        <w:tc>
          <w:tcPr>
            <w:tcW w:type="dxa" w:w="1080"/>
          </w:tcPr>
          <w:p>
            <w:r>
              <w:rPr>
                <w:b/>
                <w:sz w:val="16"/>
              </w:rPr>
              <w:t>F1</w:t>
            </w:r>
          </w:p>
        </w:tc>
        <w:tc>
          <w:tcPr>
            <w:tcW w:type="dxa" w:w="1080"/>
          </w:tcPr>
          <w:p>
            <w:r>
              <w:rPr>
                <w:b/>
                <w:sz w:val="16"/>
              </w:rPr>
              <w:t>PR-AUC</w:t>
            </w:r>
          </w:p>
        </w:tc>
        <w:tc>
          <w:tcPr>
            <w:tcW w:type="dxa" w:w="1080"/>
          </w:tcPr>
          <w:p>
            <w:r>
              <w:rPr>
                <w:b/>
                <w:sz w:val="16"/>
              </w:rPr>
              <w:t>Soporte</w:t>
            </w:r>
          </w:p>
        </w:tc>
      </w:tr>
      <w:tr>
        <w:tc>
          <w:tcPr>
            <w:tcW w:type="dxa" w:w="1080"/>
          </w:tcPr>
          <w:p>
            <w:r>
              <w:rPr>
                <w:sz w:val="16"/>
              </w:rPr>
              <w:t>sano</w:t>
            </w:r>
          </w:p>
        </w:tc>
        <w:tc>
          <w:tcPr>
            <w:tcW w:type="dxa" w:w="1080"/>
          </w:tcPr>
          <w:p>
            <w:r>
              <w:rPr>
                <w:sz w:val="16"/>
              </w:rPr>
              <w:t>0.638</w:t>
            </w:r>
          </w:p>
        </w:tc>
        <w:tc>
          <w:tcPr>
            <w:tcW w:type="dxa" w:w="1080"/>
          </w:tcPr>
          <w:p>
            <w:r>
              <w:rPr>
                <w:sz w:val="16"/>
              </w:rPr>
              <w:t>—</w:t>
            </w:r>
          </w:p>
        </w:tc>
        <w:tc>
          <w:tcPr>
            <w:tcW w:type="dxa" w:w="1080"/>
          </w:tcPr>
          <w:p>
            <w:r>
              <w:rPr>
                <w:sz w:val="16"/>
              </w:rPr>
              <w:t>0.915</w:t>
            </w:r>
          </w:p>
        </w:tc>
        <w:tc>
          <w:tcPr>
            <w:tcW w:type="dxa" w:w="1080"/>
          </w:tcPr>
          <w:p>
            <w:r>
              <w:rPr>
                <w:sz w:val="16"/>
              </w:rPr>
              <w:t>—</w:t>
            </w:r>
          </w:p>
        </w:tc>
        <w:tc>
          <w:tcPr>
            <w:tcW w:type="dxa" w:w="1080"/>
          </w:tcPr>
          <w:p>
            <w:r>
              <w:rPr>
                <w:sz w:val="16"/>
              </w:rPr>
              <w:t>0.752</w:t>
            </w:r>
          </w:p>
        </w:tc>
        <w:tc>
          <w:tcPr>
            <w:tcW w:type="dxa" w:w="1080"/>
          </w:tcPr>
          <w:p>
            <w:r>
              <w:rPr>
                <w:sz w:val="16"/>
              </w:rPr>
              <w:t>0.925</w:t>
            </w:r>
          </w:p>
        </w:tc>
        <w:tc>
          <w:tcPr>
            <w:tcW w:type="dxa" w:w="1080"/>
          </w:tcPr>
          <w:p>
            <w:r>
              <w:rPr>
                <w:sz w:val="16"/>
              </w:rPr>
              <w:t>6743</w:t>
            </w:r>
          </w:p>
        </w:tc>
      </w:tr>
      <w:tr>
        <w:tc>
          <w:tcPr>
            <w:tcW w:type="dxa" w:w="1080"/>
          </w:tcPr>
          <w:p>
            <w:r>
              <w:rPr>
                <w:sz w:val="16"/>
              </w:rPr>
              <w:t>condensador_sucio</w:t>
            </w:r>
          </w:p>
        </w:tc>
        <w:tc>
          <w:tcPr>
            <w:tcW w:type="dxa" w:w="1080"/>
          </w:tcPr>
          <w:p>
            <w:r>
              <w:rPr>
                <w:sz w:val="16"/>
              </w:rPr>
              <w:t>0.895</w:t>
            </w:r>
          </w:p>
        </w:tc>
        <w:tc>
          <w:tcPr>
            <w:tcW w:type="dxa" w:w="1080"/>
          </w:tcPr>
          <w:p>
            <w:r>
              <w:rPr>
                <w:sz w:val="16"/>
              </w:rPr>
              <w:t>—</w:t>
            </w:r>
          </w:p>
        </w:tc>
        <w:tc>
          <w:tcPr>
            <w:tcW w:type="dxa" w:w="1080"/>
          </w:tcPr>
          <w:p>
            <w:r>
              <w:rPr>
                <w:sz w:val="16"/>
              </w:rPr>
              <w:t>0.870</w:t>
            </w:r>
          </w:p>
        </w:tc>
        <w:tc>
          <w:tcPr>
            <w:tcW w:type="dxa" w:w="1080"/>
          </w:tcPr>
          <w:p>
            <w:r>
              <w:rPr>
                <w:sz w:val="16"/>
              </w:rPr>
              <w:t>—</w:t>
            </w:r>
          </w:p>
        </w:tc>
        <w:tc>
          <w:tcPr>
            <w:tcW w:type="dxa" w:w="1080"/>
          </w:tcPr>
          <w:p>
            <w:r>
              <w:rPr>
                <w:sz w:val="16"/>
              </w:rPr>
              <w:t>0.882</w:t>
            </w:r>
          </w:p>
        </w:tc>
        <w:tc>
          <w:tcPr>
            <w:tcW w:type="dxa" w:w="1080"/>
          </w:tcPr>
          <w:p>
            <w:r>
              <w:rPr>
                <w:sz w:val="16"/>
              </w:rPr>
              <w:t>0.956</w:t>
            </w:r>
          </w:p>
        </w:tc>
        <w:tc>
          <w:tcPr>
            <w:tcW w:type="dxa" w:w="1080"/>
          </w:tcPr>
          <w:p>
            <w:r>
              <w:rPr>
                <w:sz w:val="16"/>
              </w:rPr>
              <w:t>762</w:t>
            </w:r>
          </w:p>
        </w:tc>
      </w:tr>
      <w:tr>
        <w:tc>
          <w:tcPr>
            <w:tcW w:type="dxa" w:w="1080"/>
          </w:tcPr>
          <w:p>
            <w:r>
              <w:rPr>
                <w:sz w:val="16"/>
              </w:rPr>
              <w:t>incrustacion_evaporador</w:t>
            </w:r>
          </w:p>
        </w:tc>
        <w:tc>
          <w:tcPr>
            <w:tcW w:type="dxa" w:w="1080"/>
          </w:tcPr>
          <w:p>
            <w:r>
              <w:rPr>
                <w:sz w:val="16"/>
              </w:rPr>
              <w:t>0.690</w:t>
            </w:r>
          </w:p>
        </w:tc>
        <w:tc>
          <w:tcPr>
            <w:tcW w:type="dxa" w:w="1080"/>
          </w:tcPr>
          <w:p>
            <w:r>
              <w:rPr>
                <w:sz w:val="16"/>
              </w:rPr>
              <w:t>—</w:t>
            </w:r>
          </w:p>
        </w:tc>
        <w:tc>
          <w:tcPr>
            <w:tcW w:type="dxa" w:w="1080"/>
          </w:tcPr>
          <w:p>
            <w:r>
              <w:rPr>
                <w:sz w:val="16"/>
              </w:rPr>
              <w:t>0.492</w:t>
            </w:r>
          </w:p>
        </w:tc>
        <w:tc>
          <w:tcPr>
            <w:tcW w:type="dxa" w:w="1080"/>
          </w:tcPr>
          <w:p>
            <w:r>
              <w:rPr>
                <w:sz w:val="16"/>
              </w:rPr>
              <w:t>—</w:t>
            </w:r>
          </w:p>
        </w:tc>
        <w:tc>
          <w:tcPr>
            <w:tcW w:type="dxa" w:w="1080"/>
          </w:tcPr>
          <w:p>
            <w:r>
              <w:rPr>
                <w:sz w:val="16"/>
              </w:rPr>
              <w:t>0.574</w:t>
            </w:r>
          </w:p>
        </w:tc>
        <w:tc>
          <w:tcPr>
            <w:tcW w:type="dxa" w:w="1080"/>
          </w:tcPr>
          <w:p>
            <w:r>
              <w:rPr>
                <w:sz w:val="16"/>
              </w:rPr>
              <w:t>0.713</w:t>
            </w:r>
          </w:p>
        </w:tc>
        <w:tc>
          <w:tcPr>
            <w:tcW w:type="dxa" w:w="1080"/>
          </w:tcPr>
          <w:p>
            <w:r>
              <w:rPr>
                <w:sz w:val="16"/>
              </w:rPr>
              <w:t>623</w:t>
            </w:r>
          </w:p>
        </w:tc>
      </w:tr>
      <w:tr>
        <w:tc>
          <w:tcPr>
            <w:tcW w:type="dxa" w:w="1080"/>
          </w:tcPr>
          <w:p>
            <w:r>
              <w:rPr>
                <w:sz w:val="16"/>
              </w:rPr>
              <w:t>caudal_agua_bajo</w:t>
            </w:r>
          </w:p>
        </w:tc>
        <w:tc>
          <w:tcPr>
            <w:tcW w:type="dxa" w:w="1080"/>
          </w:tcPr>
          <w:p>
            <w:r>
              <w:rPr>
                <w:sz w:val="16"/>
              </w:rPr>
              <w:t>0.803</w:t>
            </w:r>
          </w:p>
        </w:tc>
        <w:tc>
          <w:tcPr>
            <w:tcW w:type="dxa" w:w="1080"/>
          </w:tcPr>
          <w:p>
            <w:r>
              <w:rPr>
                <w:sz w:val="16"/>
              </w:rPr>
              <w:t>—</w:t>
            </w:r>
          </w:p>
        </w:tc>
        <w:tc>
          <w:tcPr>
            <w:tcW w:type="dxa" w:w="1080"/>
          </w:tcPr>
          <w:p>
            <w:r>
              <w:rPr>
                <w:sz w:val="16"/>
              </w:rPr>
              <w:t>0.877</w:t>
            </w:r>
          </w:p>
        </w:tc>
        <w:tc>
          <w:tcPr>
            <w:tcW w:type="dxa" w:w="1080"/>
          </w:tcPr>
          <w:p>
            <w:r>
              <w:rPr>
                <w:sz w:val="16"/>
              </w:rPr>
              <w:t>—</w:t>
            </w:r>
          </w:p>
        </w:tc>
        <w:tc>
          <w:tcPr>
            <w:tcW w:type="dxa" w:w="1080"/>
          </w:tcPr>
          <w:p>
            <w:r>
              <w:rPr>
                <w:sz w:val="16"/>
              </w:rPr>
              <w:t>0.838</w:t>
            </w:r>
          </w:p>
        </w:tc>
        <w:tc>
          <w:tcPr>
            <w:tcW w:type="dxa" w:w="1080"/>
          </w:tcPr>
          <w:p>
            <w:r>
              <w:rPr>
                <w:sz w:val="16"/>
              </w:rPr>
              <w:t>0.893</w:t>
            </w:r>
          </w:p>
        </w:tc>
        <w:tc>
          <w:tcPr>
            <w:tcW w:type="dxa" w:w="1080"/>
          </w:tcPr>
          <w:p>
            <w:r>
              <w:rPr>
                <w:sz w:val="16"/>
              </w:rPr>
              <w:t>532</w:t>
            </w:r>
          </w:p>
        </w:tc>
      </w:tr>
      <w:tr>
        <w:tc>
          <w:tcPr>
            <w:tcW w:type="dxa" w:w="1080"/>
          </w:tcPr>
          <w:p>
            <w:r>
              <w:rPr>
                <w:sz w:val="16"/>
              </w:rPr>
              <w:t>carga_baja</w:t>
            </w:r>
          </w:p>
        </w:tc>
        <w:tc>
          <w:tcPr>
            <w:tcW w:type="dxa" w:w="1080"/>
          </w:tcPr>
          <w:p>
            <w:r>
              <w:rPr>
                <w:sz w:val="16"/>
              </w:rPr>
              <w:t>0.895</w:t>
            </w:r>
          </w:p>
        </w:tc>
        <w:tc>
          <w:tcPr>
            <w:tcW w:type="dxa" w:w="1080"/>
          </w:tcPr>
          <w:p>
            <w:r>
              <w:rPr>
                <w:sz w:val="16"/>
              </w:rPr>
              <w:t>—</w:t>
            </w:r>
          </w:p>
        </w:tc>
        <w:tc>
          <w:tcPr>
            <w:tcW w:type="dxa" w:w="1080"/>
          </w:tcPr>
          <w:p>
            <w:r>
              <w:rPr>
                <w:sz w:val="16"/>
              </w:rPr>
              <w:t>0.883</w:t>
            </w:r>
          </w:p>
        </w:tc>
        <w:tc>
          <w:tcPr>
            <w:tcW w:type="dxa" w:w="1080"/>
          </w:tcPr>
          <w:p>
            <w:r>
              <w:rPr>
                <w:sz w:val="16"/>
              </w:rPr>
              <w:t>—</w:t>
            </w:r>
          </w:p>
        </w:tc>
        <w:tc>
          <w:tcPr>
            <w:tcW w:type="dxa" w:w="1080"/>
          </w:tcPr>
          <w:p>
            <w:r>
              <w:rPr>
                <w:sz w:val="16"/>
              </w:rPr>
              <w:t>0.889</w:t>
            </w:r>
          </w:p>
        </w:tc>
        <w:tc>
          <w:tcPr>
            <w:tcW w:type="dxa" w:w="1080"/>
          </w:tcPr>
          <w:p>
            <w:r>
              <w:rPr>
                <w:sz w:val="16"/>
              </w:rPr>
              <w:t>0.960</w:t>
            </w:r>
          </w:p>
        </w:tc>
        <w:tc>
          <w:tcPr>
            <w:tcW w:type="dxa" w:w="1080"/>
          </w:tcPr>
          <w:p>
            <w:r>
              <w:rPr>
                <w:sz w:val="16"/>
              </w:rPr>
              <w:t>363</w:t>
            </w:r>
          </w:p>
        </w:tc>
      </w:tr>
      <w:tr>
        <w:tc>
          <w:tcPr>
            <w:tcW w:type="dxa" w:w="1080"/>
          </w:tcPr>
          <w:p>
            <w:r>
              <w:rPr>
                <w:sz w:val="16"/>
              </w:rPr>
              <w:t>sobrecarga</w:t>
            </w:r>
          </w:p>
        </w:tc>
        <w:tc>
          <w:tcPr>
            <w:tcW w:type="dxa" w:w="1080"/>
          </w:tcPr>
          <w:p>
            <w:r>
              <w:rPr>
                <w:sz w:val="16"/>
              </w:rPr>
              <w:t>0.675</w:t>
            </w:r>
          </w:p>
        </w:tc>
        <w:tc>
          <w:tcPr>
            <w:tcW w:type="dxa" w:w="1080"/>
          </w:tcPr>
          <w:p>
            <w:r>
              <w:rPr>
                <w:sz w:val="16"/>
              </w:rPr>
              <w:t>—</w:t>
            </w:r>
          </w:p>
        </w:tc>
        <w:tc>
          <w:tcPr>
            <w:tcW w:type="dxa" w:w="1080"/>
          </w:tcPr>
          <w:p>
            <w:r>
              <w:rPr>
                <w:sz w:val="16"/>
              </w:rPr>
              <w:t>0.134</w:t>
            </w:r>
          </w:p>
        </w:tc>
        <w:tc>
          <w:tcPr>
            <w:tcW w:type="dxa" w:w="1080"/>
          </w:tcPr>
          <w:p>
            <w:r>
              <w:rPr>
                <w:sz w:val="16"/>
              </w:rPr>
              <w:t>—</w:t>
            </w:r>
          </w:p>
        </w:tc>
        <w:tc>
          <w:tcPr>
            <w:tcW w:type="dxa" w:w="1080"/>
          </w:tcPr>
          <w:p>
            <w:r>
              <w:rPr>
                <w:sz w:val="16"/>
              </w:rPr>
              <w:t>0.223</w:t>
            </w:r>
          </w:p>
        </w:tc>
        <w:tc>
          <w:tcPr>
            <w:tcW w:type="dxa" w:w="1080"/>
          </w:tcPr>
          <w:p>
            <w:r>
              <w:rPr>
                <w:sz w:val="16"/>
              </w:rPr>
              <w:t>0.387</w:t>
            </w:r>
          </w:p>
        </w:tc>
        <w:tc>
          <w:tcPr>
            <w:tcW w:type="dxa" w:w="1080"/>
          </w:tcPr>
          <w:p>
            <w:r>
              <w:rPr>
                <w:sz w:val="16"/>
              </w:rPr>
              <w:t>77</w:t>
            </w:r>
          </w:p>
        </w:tc>
      </w:tr>
      <w:tr>
        <w:tc>
          <w:tcPr>
            <w:tcW w:type="dxa" w:w="1080"/>
          </w:tcPr>
          <w:p>
            <w:r>
              <w:rPr>
                <w:sz w:val="16"/>
              </w:rPr>
              <w:t>txv_restringida</w:t>
            </w:r>
          </w:p>
        </w:tc>
        <w:tc>
          <w:tcPr>
            <w:tcW w:type="dxa" w:w="1080"/>
          </w:tcPr>
          <w:p>
            <w:r>
              <w:rPr>
                <w:sz w:val="16"/>
              </w:rPr>
              <w:t>0.545</w:t>
            </w:r>
          </w:p>
        </w:tc>
        <w:tc>
          <w:tcPr>
            <w:tcW w:type="dxa" w:w="1080"/>
          </w:tcPr>
          <w:p>
            <w:r>
              <w:rPr>
                <w:sz w:val="16"/>
              </w:rPr>
              <w:t>—</w:t>
            </w:r>
          </w:p>
        </w:tc>
        <w:tc>
          <w:tcPr>
            <w:tcW w:type="dxa" w:w="1080"/>
          </w:tcPr>
          <w:p>
            <w:r>
              <w:rPr>
                <w:sz w:val="16"/>
              </w:rPr>
              <w:t>0.116</w:t>
            </w:r>
          </w:p>
        </w:tc>
        <w:tc>
          <w:tcPr>
            <w:tcW w:type="dxa" w:w="1080"/>
          </w:tcPr>
          <w:p>
            <w:r>
              <w:rPr>
                <w:sz w:val="16"/>
              </w:rPr>
              <w:t>—</w:t>
            </w:r>
          </w:p>
        </w:tc>
        <w:tc>
          <w:tcPr>
            <w:tcW w:type="dxa" w:w="1080"/>
          </w:tcPr>
          <w:p>
            <w:r>
              <w:rPr>
                <w:sz w:val="16"/>
              </w:rPr>
              <w:t>0.191</w:t>
            </w:r>
          </w:p>
        </w:tc>
        <w:tc>
          <w:tcPr>
            <w:tcW w:type="dxa" w:w="1080"/>
          </w:tcPr>
          <w:p>
            <w:r>
              <w:rPr>
                <w:sz w:val="16"/>
              </w:rPr>
              <w:t>0.207</w:t>
            </w:r>
          </w:p>
        </w:tc>
        <w:tc>
          <w:tcPr>
            <w:tcW w:type="dxa" w:w="1080"/>
          </w:tcPr>
          <w:p>
            <w:r>
              <w:rPr>
                <w:sz w:val="16"/>
              </w:rPr>
              <w:t>314</w:t>
            </w:r>
          </w:p>
        </w:tc>
      </w:tr>
      <w:tr>
        <w:tc>
          <w:tcPr>
            <w:tcW w:type="dxa" w:w="1080"/>
          </w:tcPr>
          <w:p>
            <w:r>
              <w:rPr>
                <w:sz w:val="16"/>
              </w:rPr>
              <w:t>txv_sobrealimenta</w:t>
            </w:r>
          </w:p>
        </w:tc>
        <w:tc>
          <w:tcPr>
            <w:tcW w:type="dxa" w:w="1080"/>
          </w:tcPr>
          <w:p>
            <w:r>
              <w:rPr>
                <w:sz w:val="16"/>
              </w:rPr>
              <w:t>0.750</w:t>
            </w:r>
          </w:p>
        </w:tc>
        <w:tc>
          <w:tcPr>
            <w:tcW w:type="dxa" w:w="1080"/>
          </w:tcPr>
          <w:p>
            <w:r>
              <w:rPr>
                <w:sz w:val="16"/>
              </w:rPr>
              <w:t>[0.57, 0.87]</w:t>
            </w:r>
          </w:p>
        </w:tc>
        <w:tc>
          <w:tcPr>
            <w:tcW w:type="dxa" w:w="1080"/>
          </w:tcPr>
          <w:p>
            <w:r>
              <w:rPr>
                <w:sz w:val="16"/>
              </w:rPr>
              <w:t>0.181</w:t>
            </w:r>
          </w:p>
        </w:tc>
        <w:tc>
          <w:tcPr>
            <w:tcW w:type="dxa" w:w="1080"/>
          </w:tcPr>
          <w:p>
            <w:r>
              <w:rPr>
                <w:sz w:val="16"/>
              </w:rPr>
              <w:t>[0.12, 0.26]</w:t>
            </w:r>
          </w:p>
        </w:tc>
        <w:tc>
          <w:tcPr>
            <w:tcW w:type="dxa" w:w="1080"/>
          </w:tcPr>
          <w:p>
            <w:r>
              <w:rPr>
                <w:sz w:val="16"/>
              </w:rPr>
              <w:t>0.292</w:t>
            </w:r>
          </w:p>
        </w:tc>
        <w:tc>
          <w:tcPr>
            <w:tcW w:type="dxa" w:w="1080"/>
          </w:tcPr>
          <w:p>
            <w:r>
              <w:rPr>
                <w:sz w:val="16"/>
              </w:rPr>
              <w:t>0.705</w:t>
            </w:r>
          </w:p>
        </w:tc>
        <w:tc>
          <w:tcPr>
            <w:tcW w:type="dxa" w:w="1080"/>
          </w:tcPr>
          <w:p>
            <w:r>
              <w:rPr>
                <w:sz w:val="16"/>
              </w:rPr>
              <w:t>28</w:t>
            </w:r>
          </w:p>
        </w:tc>
      </w:tr>
      <w:tr>
        <w:tc>
          <w:tcPr>
            <w:tcW w:type="dxa" w:w="1080"/>
          </w:tcPr>
          <w:p>
            <w:r>
              <w:rPr>
                <w:sz w:val="16"/>
              </w:rPr>
              <w:t>compresor_desgastado</w:t>
            </w:r>
          </w:p>
        </w:tc>
        <w:tc>
          <w:tcPr>
            <w:tcW w:type="dxa" w:w="1080"/>
          </w:tcPr>
          <w:p>
            <w:r>
              <w:rPr>
                <w:sz w:val="16"/>
              </w:rPr>
              <w:t>0.763</w:t>
            </w:r>
          </w:p>
        </w:tc>
        <w:tc>
          <w:tcPr>
            <w:tcW w:type="dxa" w:w="1080"/>
          </w:tcPr>
          <w:p>
            <w:r>
              <w:rPr>
                <w:sz w:val="16"/>
              </w:rPr>
              <w:t>—</w:t>
            </w:r>
          </w:p>
        </w:tc>
        <w:tc>
          <w:tcPr>
            <w:tcW w:type="dxa" w:w="1080"/>
          </w:tcPr>
          <w:p>
            <w:r>
              <w:rPr>
                <w:sz w:val="16"/>
              </w:rPr>
              <w:t>0.409</w:t>
            </w:r>
          </w:p>
        </w:tc>
        <w:tc>
          <w:tcPr>
            <w:tcW w:type="dxa" w:w="1080"/>
          </w:tcPr>
          <w:p>
            <w:r>
              <w:rPr>
                <w:sz w:val="16"/>
              </w:rPr>
              <w:t>—</w:t>
            </w:r>
          </w:p>
        </w:tc>
        <w:tc>
          <w:tcPr>
            <w:tcW w:type="dxa" w:w="1080"/>
          </w:tcPr>
          <w:p>
            <w:r>
              <w:rPr>
                <w:sz w:val="16"/>
              </w:rPr>
              <w:t>0.533</w:t>
            </w:r>
          </w:p>
        </w:tc>
        <w:tc>
          <w:tcPr>
            <w:tcW w:type="dxa" w:w="1080"/>
          </w:tcPr>
          <w:p>
            <w:r>
              <w:rPr>
                <w:sz w:val="16"/>
              </w:rPr>
              <w:t>0.759</w:t>
            </w:r>
          </w:p>
        </w:tc>
        <w:tc>
          <w:tcPr>
            <w:tcW w:type="dxa" w:w="1080"/>
          </w:tcPr>
          <w:p>
            <w:r>
              <w:rPr>
                <w:sz w:val="16"/>
              </w:rPr>
              <w:t>249</w:t>
            </w:r>
          </w:p>
        </w:tc>
      </w:tr>
      <w:tr>
        <w:tc>
          <w:tcPr>
            <w:tcW w:type="dxa" w:w="1080"/>
          </w:tcPr>
          <w:p>
            <w:r>
              <w:rPr>
                <w:sz w:val="16"/>
              </w:rPr>
              <w:t>incondensables</w:t>
            </w:r>
          </w:p>
        </w:tc>
        <w:tc>
          <w:tcPr>
            <w:tcW w:type="dxa" w:w="1080"/>
          </w:tcPr>
          <w:p>
            <w:r>
              <w:rPr>
                <w:sz w:val="16"/>
              </w:rPr>
              <w:t>0.902</w:t>
            </w:r>
          </w:p>
        </w:tc>
        <w:tc>
          <w:tcPr>
            <w:tcW w:type="dxa" w:w="1080"/>
          </w:tcPr>
          <w:p>
            <w:r>
              <w:rPr>
                <w:sz w:val="16"/>
              </w:rPr>
              <w:t>—</w:t>
            </w:r>
          </w:p>
        </w:tc>
        <w:tc>
          <w:tcPr>
            <w:tcW w:type="dxa" w:w="1080"/>
          </w:tcPr>
          <w:p>
            <w:r>
              <w:rPr>
                <w:sz w:val="16"/>
              </w:rPr>
              <w:t>0.769</w:t>
            </w:r>
          </w:p>
        </w:tc>
        <w:tc>
          <w:tcPr>
            <w:tcW w:type="dxa" w:w="1080"/>
          </w:tcPr>
          <w:p>
            <w:r>
              <w:rPr>
                <w:sz w:val="16"/>
              </w:rPr>
              <w:t>—</w:t>
            </w:r>
          </w:p>
        </w:tc>
        <w:tc>
          <w:tcPr>
            <w:tcW w:type="dxa" w:w="1080"/>
          </w:tcPr>
          <w:p>
            <w:r>
              <w:rPr>
                <w:sz w:val="16"/>
              </w:rPr>
              <w:t>0.830</w:t>
            </w:r>
          </w:p>
        </w:tc>
        <w:tc>
          <w:tcPr>
            <w:tcW w:type="dxa" w:w="1080"/>
          </w:tcPr>
          <w:p>
            <w:r>
              <w:rPr>
                <w:sz w:val="16"/>
              </w:rPr>
              <w:t>0.942</w:t>
            </w:r>
          </w:p>
        </w:tc>
        <w:tc>
          <w:tcPr>
            <w:tcW w:type="dxa" w:w="1080"/>
          </w:tcPr>
          <w:p>
            <w:r>
              <w:rPr>
                <w:sz w:val="16"/>
              </w:rPr>
              <w:t>122</w:t>
            </w:r>
          </w:p>
        </w:tc>
      </w:tr>
      <w:tr>
        <w:tc>
          <w:tcPr>
            <w:tcW w:type="dxa" w:w="1080"/>
          </w:tcPr>
          <w:p>
            <w:r>
              <w:rPr>
                <w:sz w:val="16"/>
              </w:rPr>
              <w:t>restriccion_linea_liquido</w:t>
            </w:r>
          </w:p>
        </w:tc>
        <w:tc>
          <w:tcPr>
            <w:tcW w:type="dxa" w:w="1080"/>
          </w:tcPr>
          <w:p>
            <w:r>
              <w:rPr>
                <w:sz w:val="16"/>
              </w:rPr>
              <w:t>0.457</w:t>
            </w:r>
          </w:p>
        </w:tc>
        <w:tc>
          <w:tcPr>
            <w:tcW w:type="dxa" w:w="1080"/>
          </w:tcPr>
          <w:p>
            <w:r>
              <w:rPr>
                <w:sz w:val="16"/>
              </w:rPr>
              <w:t>—</w:t>
            </w:r>
          </w:p>
        </w:tc>
        <w:tc>
          <w:tcPr>
            <w:tcW w:type="dxa" w:w="1080"/>
          </w:tcPr>
          <w:p>
            <w:r>
              <w:rPr>
                <w:sz w:val="16"/>
              </w:rPr>
              <w:t>0.439</w:t>
            </w:r>
          </w:p>
        </w:tc>
        <w:tc>
          <w:tcPr>
            <w:tcW w:type="dxa" w:w="1080"/>
          </w:tcPr>
          <w:p>
            <w:r>
              <w:rPr>
                <w:sz w:val="16"/>
              </w:rPr>
              <w:t>—</w:t>
            </w:r>
          </w:p>
        </w:tc>
        <w:tc>
          <w:tcPr>
            <w:tcW w:type="dxa" w:w="1080"/>
          </w:tcPr>
          <w:p>
            <w:r>
              <w:rPr>
                <w:sz w:val="16"/>
              </w:rPr>
              <w:t>0.448</w:t>
            </w:r>
          </w:p>
        </w:tc>
        <w:tc>
          <w:tcPr>
            <w:tcW w:type="dxa" w:w="1080"/>
          </w:tcPr>
          <w:p>
            <w:r>
              <w:rPr>
                <w:sz w:val="16"/>
              </w:rPr>
              <w:t>0.522</w:t>
            </w:r>
          </w:p>
        </w:tc>
        <w:tc>
          <w:tcPr>
            <w:tcW w:type="dxa" w:w="1080"/>
          </w:tcPr>
          <w:p>
            <w:r>
              <w:rPr>
                <w:sz w:val="16"/>
              </w:rPr>
              <w:t>151</w:t>
            </w:r>
          </w:p>
        </w:tc>
      </w:tr>
    </w:tbl>
    <w:p/>
    <w:p>
      <w:r>
        <w:t>F1 macro: 0.5866    F1 ponderado: 0.7281    PR-AUC macro: 0.7245</w:t>
      </w:r>
    </w:p>
    <w:p>
      <w:pPr>
        <w:pStyle w:val="Heading3"/>
      </w:pPr>
      <w:r>
        <w:t>Reporte de clasificación</w:t>
      </w:r>
    </w:p>
    <w:p>
      <w:r>
        <w:rPr>
          <w:rFonts w:ascii="Consolas" w:hAnsi="Consolas"/>
          <w:sz w:val="14"/>
        </w:rPr>
        <w:t xml:space="preserve">                           precision    recall  f1-score   support</w:t>
        <w:br/>
        <w:br/>
        <w:t xml:space="preserve">                     sano       0.91      0.64      0.75      6743</w:t>
        <w:br/>
        <w:t xml:space="preserve">        condensador_sucio       0.87      0.90      0.88       762</w:t>
        <w:br/>
        <w:t xml:space="preserve">  incrustacion_evaporador       0.49      0.69      0.57       623</w:t>
        <w:br/>
        <w:t xml:space="preserve">         caudal_agua_bajo       0.88      0.80      0.84       532</w:t>
        <w:br/>
        <w:t xml:space="preserve">               carga_baja       0.88      0.90      0.89       363</w:t>
        <w:br/>
        <w:t xml:space="preserve">               sobrecarga       0.13      0.68      0.22        77</w:t>
        <w:br/>
        <w:t xml:space="preserve">          txv_restringida       0.12      0.54      0.19       314</w:t>
        <w:br/>
        <w:t xml:space="preserve">        txv_sobrealimenta       0.18      0.75      0.29        28</w:t>
        <w:br/>
        <w:t xml:space="preserve">     compresor_desgastado       0.41      0.76      0.53       249</w:t>
        <w:br/>
        <w:t xml:space="preserve">           incondensables       0.77      0.90      0.83       122</w:t>
        <w:br/>
        <w:t>restriccion_linea_liquido       0.44      0.46      0.45       151</w:t>
        <w:br/>
        <w:br/>
        <w:t xml:space="preserve">                 accuracy                           0.68      9964</w:t>
        <w:br/>
        <w:t xml:space="preserve">                macro avg       0.55      0.73      0.59      9964</w:t>
        <w:br/>
        <w:t xml:space="preserve">             weighted avg       0.83      0.68      0.73      9964</w:t>
        <w:br/>
      </w:r>
    </w:p>
    <w:p>
      <w:pPr>
        <w:pStyle w:val="Heading3"/>
      </w:pPr>
      <w:r>
        <w:t>Exactitud global y proporción de clases</w:t>
      </w:r>
    </w:p>
    <w:p>
      <w:r>
        <w:t>Exactitud global: 0.6803</w:t>
      </w:r>
    </w:p>
    <w:p>
      <w:r>
        <w:t>Proporción de clases: sano 67.7%, condensador_sucio 7.6%, incrustacion_evaporador 6.3%, caudal_agua_bajo 5.3%, carga_baja 3.6%, txv_restringida 3.2%, compresor_desgastado 2.5%, restriccion_linea_liquido 1.5%, incondensables 1.2%, sobrecarga 0.8%, txv_sobrealimenta 0.3%</w:t>
      </w:r>
    </w:p>
    <w:p>
      <w:r>
        <w:t>Un clasificador trivial que predijera siempre «sano» obtendría 0.6767 de exactitud y CERO utilidad diagnóstica. El modelo obtiene 0.6803: una diferencia de apenas +0.0036. Leída sola, la exactitud diría que el sistema no aporta nada, y sería una lectura equivocada: el modelo detecta la mayoría de las fallas presentes, que es justamente lo que el clasificador trivial no hace en absoluto. La exactitud no distingue entre acertar por diagnóstico y acertar por prevalencia.</w:t>
      </w:r>
    </w:p>
    <w:p>
      <w:r>
        <w:t>Por eso la exactitud se reporta al final y acompañada de la proporción de clases, y por eso las métricas principales del informe son el recall y el F1 por clase (Saito y Rehmsmeier, 2015).</w:t>
      </w:r>
    </w:p>
    <w:p>
      <w:pPr>
        <w:pStyle w:val="Heading2"/>
      </w:pPr>
      <w:r>
        <w:t>2.3 El caso de `txv_sobrealimenta`: por qué la exactitud global no sirve</w:t>
      </w:r>
    </w:p>
    <w:p>
      <w:r>
        <w:t>En el conjunto de prevalencia realista, `txv_sobrealimenta` aparece 28 veces sobre 9964 muestras. El clasificador la detecta con un recall de 0.750 [0.57, 0.87] pero con una precisión de 0.181 [0.12, 0.26]: de las 116 muestras que señala como esa falla, alrededor de 95 resultan ser otra cosa.</w:t>
      </w:r>
    </w:p>
    <w:p>
      <w:r>
        <w:t>El motivo no es que el modelo diagnostique mal esa falla: en el conjunto balanceado, donde todas las clases tienen el mismo peso, la misma clase se ve prácticamente perfecta. El motivo es aritmético. Cuando una clase representa el 0,3 % de la población, incluso una tasa de falsos positivos baja sobre el 68 % de muestras sanas produce más falsas alarmas que aciertos posibles. La precisión de una clase rara está gobernada por la prevalencia, no por la calidad del clasificador.</w:t>
      </w:r>
    </w:p>
    <w:p>
      <w:r>
        <w:t>Es exactamente el fenómeno que documentan Saito y Rehmsmeier (2015): con clases desbalanceadas, la exactitud global y la curva ROC producen una impresión optimista, mientras que la curva precisión-recall revela el comportamiento real. Reportar los dos conjuntos permite cuantificar el efecto en lugar de padecerlo.</w:t>
      </w:r>
    </w:p>
    <w:p>
      <w:r>
        <w:t>Consecuencia práctica para el plan de mantenimiento: si el sistema emitiera una orden de trabajo por cada aviso de `txv_sobrealimenta`, la mayoría de esas órdenes se gastaría en equipos que no tienen esa falla. La respuesta de ingeniería no es descartar el clasificador, sino usar la clase rara como disparador de inspección y no de intervención, y acompañar el aviso con la severidad estimada.</w:t>
      </w:r>
    </w:p>
    <w:p>
      <w:r>
        <w:t>El intervalo de Wilson importa aquí: con 28 casos, la precisión observada de 0.181 es compatible con cualquier valor entre 0.12 y 0.26. Reportar el número puntual sin ese intervalo sería reportar ruido como si fuera un resultado.</w:t>
      </w:r>
    </w:p>
    <w:p>
      <w:pPr>
        <w:pStyle w:val="Heading2"/>
      </w:pPr>
      <w:r>
        <w:t>2.4 Cota superior teórica (discrepancia cero)</w:t>
      </w:r>
    </w:p>
    <w:p>
      <w:r>
        <w:t>Los mismos datos generados SIN discrepancia entre modelo y planta, es decir suponiendo que el gemelo digital reproduce el equipo exactamente. Es un escenario INALCANZABLE en campo y se reporta solo como cota superior: cualquier implantación real tendrá un error de calibración distinto de cero.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6"/>
              </w:rPr>
              <w:t>Conjunto</w:t>
            </w:r>
          </w:p>
        </w:tc>
        <w:tc>
          <w:tcPr>
            <w:tcW w:type="dxa" w:w="2160"/>
          </w:tcPr>
          <w:p>
            <w:r>
              <w:rPr>
                <w:b/>
                <w:sz w:val="16"/>
              </w:rPr>
              <w:t>Métrica</w:t>
            </w:r>
          </w:p>
        </w:tc>
        <w:tc>
          <w:tcPr>
            <w:tcW w:type="dxa" w:w="2160"/>
          </w:tcPr>
          <w:p>
            <w:r>
              <w:rPr>
                <w:b/>
                <w:sz w:val="16"/>
              </w:rPr>
              <w:t>Caso base (5 %)</w:t>
            </w:r>
          </w:p>
        </w:tc>
        <w:tc>
          <w:tcPr>
            <w:tcW w:type="dxa" w:w="2160"/>
          </w:tcPr>
          <w:p>
            <w:r>
              <w:rPr>
                <w:b/>
                <w:sz w:val="16"/>
              </w:rPr>
              <w:t>Cota superior (0 %)</w:t>
            </w:r>
          </w:p>
        </w:tc>
      </w:tr>
      <w:tr>
        <w:tc>
          <w:tcPr>
            <w:tcW w:type="dxa" w:w="2160"/>
          </w:tcPr>
          <w:p>
            <w:r>
              <w:rPr>
                <w:sz w:val="16"/>
              </w:rPr>
              <w:t>Balanceado</w:t>
            </w:r>
          </w:p>
        </w:tc>
        <w:tc>
          <w:tcPr>
            <w:tcW w:type="dxa" w:w="2160"/>
          </w:tcPr>
          <w:p>
            <w:r>
              <w:rPr>
                <w:sz w:val="16"/>
              </w:rPr>
              <w:t>F1 macro</w:t>
            </w:r>
          </w:p>
        </w:tc>
        <w:tc>
          <w:tcPr>
            <w:tcW w:type="dxa" w:w="2160"/>
          </w:tcPr>
          <w:p>
            <w:r>
              <w:rPr>
                <w:sz w:val="16"/>
              </w:rPr>
              <w:t>0.7554</w:t>
            </w:r>
          </w:p>
        </w:tc>
        <w:tc>
          <w:tcPr>
            <w:tcW w:type="dxa" w:w="2160"/>
          </w:tcPr>
          <w:p>
            <w:r>
              <w:rPr>
                <w:sz w:val="16"/>
              </w:rPr>
              <w:t>0.8270</w:t>
            </w:r>
          </w:p>
        </w:tc>
      </w:tr>
      <w:tr>
        <w:tc>
          <w:tcPr>
            <w:tcW w:type="dxa" w:w="2160"/>
          </w:tcPr>
          <w:p>
            <w:r>
              <w:rPr>
                <w:sz w:val="16"/>
              </w:rPr>
              <w:t>Balanceado</w:t>
            </w:r>
          </w:p>
        </w:tc>
        <w:tc>
          <w:tcPr>
            <w:tcW w:type="dxa" w:w="2160"/>
          </w:tcPr>
          <w:p>
            <w:r>
              <w:rPr>
                <w:sz w:val="16"/>
              </w:rPr>
              <w:t>PR-AUC macro</w:t>
            </w:r>
          </w:p>
        </w:tc>
        <w:tc>
          <w:tcPr>
            <w:tcW w:type="dxa" w:w="2160"/>
          </w:tcPr>
          <w:p>
            <w:r>
              <w:rPr>
                <w:sz w:val="16"/>
              </w:rPr>
              <w:t>0.8076</w:t>
            </w:r>
          </w:p>
        </w:tc>
        <w:tc>
          <w:tcPr>
            <w:tcW w:type="dxa" w:w="2160"/>
          </w:tcPr>
          <w:p>
            <w:r>
              <w:rPr>
                <w:sz w:val="16"/>
              </w:rPr>
              <w:t>0.8618</w:t>
            </w:r>
          </w:p>
        </w:tc>
      </w:tr>
      <w:tr>
        <w:tc>
          <w:tcPr>
            <w:tcW w:type="dxa" w:w="2160"/>
          </w:tcPr>
          <w:p>
            <w:r>
              <w:rPr>
                <w:sz w:val="16"/>
              </w:rPr>
              <w:t>Balanceado</w:t>
            </w:r>
          </w:p>
        </w:tc>
        <w:tc>
          <w:tcPr>
            <w:tcW w:type="dxa" w:w="2160"/>
          </w:tcPr>
          <w:p>
            <w:r>
              <w:rPr>
                <w:sz w:val="16"/>
              </w:rPr>
              <w:t>Exactitud</w:t>
            </w:r>
          </w:p>
        </w:tc>
        <w:tc>
          <w:tcPr>
            <w:tcW w:type="dxa" w:w="2160"/>
          </w:tcPr>
          <w:p>
            <w:r>
              <w:rPr>
                <w:sz w:val="16"/>
              </w:rPr>
              <w:t>0.7396</w:t>
            </w:r>
          </w:p>
        </w:tc>
        <w:tc>
          <w:tcPr>
            <w:tcW w:type="dxa" w:w="2160"/>
          </w:tcPr>
          <w:p>
            <w:r>
              <w:rPr>
                <w:sz w:val="16"/>
              </w:rPr>
              <w:t>0.8212</w:t>
            </w:r>
          </w:p>
        </w:tc>
      </w:tr>
      <w:tr>
        <w:tc>
          <w:tcPr>
            <w:tcW w:type="dxa" w:w="2160"/>
          </w:tcPr>
          <w:p>
            <w:r>
              <w:rPr>
                <w:sz w:val="16"/>
              </w:rPr>
              <w:t>Prevalencia</w:t>
            </w:r>
          </w:p>
        </w:tc>
        <w:tc>
          <w:tcPr>
            <w:tcW w:type="dxa" w:w="2160"/>
          </w:tcPr>
          <w:p>
            <w:r>
              <w:rPr>
                <w:sz w:val="16"/>
              </w:rPr>
              <w:t>F1 macro</w:t>
            </w:r>
          </w:p>
        </w:tc>
        <w:tc>
          <w:tcPr>
            <w:tcW w:type="dxa" w:w="2160"/>
          </w:tcPr>
          <w:p>
            <w:r>
              <w:rPr>
                <w:sz w:val="16"/>
              </w:rPr>
              <w:t>0.5866</w:t>
            </w:r>
          </w:p>
        </w:tc>
        <w:tc>
          <w:tcPr>
            <w:tcW w:type="dxa" w:w="2160"/>
          </w:tcPr>
          <w:p>
            <w:r>
              <w:rPr>
                <w:sz w:val="16"/>
              </w:rPr>
              <w:t>0.6566</w:t>
            </w:r>
          </w:p>
        </w:tc>
      </w:tr>
      <w:tr>
        <w:tc>
          <w:tcPr>
            <w:tcW w:type="dxa" w:w="2160"/>
          </w:tcPr>
          <w:p>
            <w:r>
              <w:rPr>
                <w:sz w:val="16"/>
              </w:rPr>
              <w:t>Prevalencia</w:t>
            </w:r>
          </w:p>
        </w:tc>
        <w:tc>
          <w:tcPr>
            <w:tcW w:type="dxa" w:w="2160"/>
          </w:tcPr>
          <w:p>
            <w:r>
              <w:rPr>
                <w:sz w:val="16"/>
              </w:rPr>
              <w:t>PR-AUC macro</w:t>
            </w:r>
          </w:p>
        </w:tc>
        <w:tc>
          <w:tcPr>
            <w:tcW w:type="dxa" w:w="2160"/>
          </w:tcPr>
          <w:p>
            <w:r>
              <w:rPr>
                <w:sz w:val="16"/>
              </w:rPr>
              <w:t>0.7245</w:t>
            </w:r>
          </w:p>
        </w:tc>
        <w:tc>
          <w:tcPr>
            <w:tcW w:type="dxa" w:w="2160"/>
          </w:tcPr>
          <w:p>
            <w:r>
              <w:rPr>
                <w:sz w:val="16"/>
              </w:rPr>
              <w:t>0.8084</w:t>
            </w:r>
          </w:p>
        </w:tc>
      </w:tr>
      <w:tr>
        <w:tc>
          <w:tcPr>
            <w:tcW w:type="dxa" w:w="2160"/>
          </w:tcPr>
          <w:p>
            <w:r>
              <w:rPr>
                <w:sz w:val="16"/>
              </w:rPr>
              <w:t>Prevalencia</w:t>
            </w:r>
          </w:p>
        </w:tc>
        <w:tc>
          <w:tcPr>
            <w:tcW w:type="dxa" w:w="2160"/>
          </w:tcPr>
          <w:p>
            <w:r>
              <w:rPr>
                <w:sz w:val="16"/>
              </w:rPr>
              <w:t>Exactitud</w:t>
            </w:r>
          </w:p>
        </w:tc>
        <w:tc>
          <w:tcPr>
            <w:tcW w:type="dxa" w:w="2160"/>
          </w:tcPr>
          <w:p>
            <w:r>
              <w:rPr>
                <w:sz w:val="16"/>
              </w:rPr>
              <w:t>0.6803</w:t>
            </w:r>
          </w:p>
        </w:tc>
        <w:tc>
          <w:tcPr>
            <w:tcW w:type="dxa" w:w="2160"/>
          </w:tcPr>
          <w:p>
            <w:r>
              <w:rPr>
                <w:sz w:val="16"/>
              </w:rPr>
              <w:t>0.7572</w:t>
            </w:r>
          </w:p>
        </w:tc>
      </w:tr>
    </w:tbl>
    <w:p>
      <w:r>
        <w:t>La diferencia entre ambas columnas es el precio de no tener un gemelo digital perfecto. Es la magnitud que justifica el esfuerzo de calibración descrito en la sección 9 de la especificación.</w:t>
      </w:r>
    </w:p>
    <w:p>
      <w:pPr>
        <w:pStyle w:val="Heading1"/>
      </w:pPr>
      <w:r>
        <w:t>3. Figuras</w:t>
      </w:r>
    </w:p>
    <w:p>
      <w:pPr>
        <w:pStyle w:val="Heading2"/>
      </w:pPr>
      <w:r>
        <w:t>Figura 1. Diagrama P-h: ciclo sano frente a ciclo degradado</w:t>
      </w:r>
    </w:p>
    <w:p>
      <w:r>
        <w:drawing>
          <wp:inline xmlns:a="http://schemas.openxmlformats.org/drawingml/2006/main" xmlns:pic="http://schemas.openxmlformats.org/drawingml/2006/picture">
            <wp:extent cx="5486400" cy="4443007"/>
            <wp:docPr id="1" name="Picture 1"/>
            <wp:cNvGraphicFramePr>
              <a:graphicFrameLocks noChangeAspect="1"/>
            </wp:cNvGraphicFramePr>
            <a:graphic>
              <a:graphicData uri="http://schemas.openxmlformats.org/drawingml/2006/picture">
                <pic:pic>
                  <pic:nvPicPr>
                    <pic:cNvPr id="0" name="fig1_diagrama_ph.png"/>
                    <pic:cNvPicPr/>
                  </pic:nvPicPr>
                  <pic:blipFill>
                    <a:blip r:embed="rId9"/>
                    <a:stretch>
                      <a:fillRect/>
                    </a:stretch>
                  </pic:blipFill>
                  <pic:spPr>
                    <a:xfrm>
                      <a:off x="0" y="0"/>
                      <a:ext cx="5486400" cy="4443007"/>
                    </a:xfrm>
                    <a:prstGeom prst="rect"/>
                  </pic:spPr>
                </pic:pic>
              </a:graphicData>
            </a:graphic>
          </wp:inline>
        </w:drawing>
      </w:r>
    </w:p>
    <w:p>
      <w:pPr>
        <w:pStyle w:val="Heading2"/>
      </w:pPr>
      <w:r>
        <w:t>Figura 2a. Matriz de confusión — balanceado</w:t>
      </w:r>
    </w:p>
    <w:p>
      <w:r>
        <w:drawing>
          <wp:inline xmlns:a="http://schemas.openxmlformats.org/drawingml/2006/main" xmlns:pic="http://schemas.openxmlformats.org/drawingml/2006/picture">
            <wp:extent cx="5486400" cy="5048885"/>
            <wp:docPr id="2" name="Picture 2"/>
            <wp:cNvGraphicFramePr>
              <a:graphicFrameLocks noChangeAspect="1"/>
            </wp:cNvGraphicFramePr>
            <a:graphic>
              <a:graphicData uri="http://schemas.openxmlformats.org/drawingml/2006/picture">
                <pic:pic>
                  <pic:nvPicPr>
                    <pic:cNvPr id="0" name="fig2a_matriz_confusion_balanceado.png"/>
                    <pic:cNvPicPr/>
                  </pic:nvPicPr>
                  <pic:blipFill>
                    <a:blip r:embed="rId10"/>
                    <a:stretch>
                      <a:fillRect/>
                    </a:stretch>
                  </pic:blipFill>
                  <pic:spPr>
                    <a:xfrm>
                      <a:off x="0" y="0"/>
                      <a:ext cx="5486400" cy="5048885"/>
                    </a:xfrm>
                    <a:prstGeom prst="rect"/>
                  </pic:spPr>
                </pic:pic>
              </a:graphicData>
            </a:graphic>
          </wp:inline>
        </w:drawing>
      </w:r>
    </w:p>
    <w:p>
      <w:pPr>
        <w:pStyle w:val="Heading2"/>
      </w:pPr>
      <w:r>
        <w:t>Figura 2b. Matriz de confusión — prevalencia</w:t>
      </w:r>
    </w:p>
    <w:p>
      <w:r>
        <w:drawing>
          <wp:inline xmlns:a="http://schemas.openxmlformats.org/drawingml/2006/main" xmlns:pic="http://schemas.openxmlformats.org/drawingml/2006/picture">
            <wp:extent cx="5486400" cy="5048885"/>
            <wp:docPr id="3" name="Picture 3"/>
            <wp:cNvGraphicFramePr>
              <a:graphicFrameLocks noChangeAspect="1"/>
            </wp:cNvGraphicFramePr>
            <a:graphic>
              <a:graphicData uri="http://schemas.openxmlformats.org/drawingml/2006/picture">
                <pic:pic>
                  <pic:nvPicPr>
                    <pic:cNvPr id="0" name="fig2b_matriz_confusion_prevalencia.png"/>
                    <pic:cNvPicPr/>
                  </pic:nvPicPr>
                  <pic:blipFill>
                    <a:blip r:embed="rId11"/>
                    <a:stretch>
                      <a:fillRect/>
                    </a:stretch>
                  </pic:blipFill>
                  <pic:spPr>
                    <a:xfrm>
                      <a:off x="0" y="0"/>
                      <a:ext cx="5486400" cy="5048885"/>
                    </a:xfrm>
                    <a:prstGeom prst="rect"/>
                  </pic:spPr>
                </pic:pic>
              </a:graphicData>
            </a:graphic>
          </wp:inline>
        </w:drawing>
      </w:r>
    </w:p>
    <w:p>
      <w:pPr>
        <w:pStyle w:val="Heading2"/>
      </w:pPr>
      <w:r>
        <w:t>Figura 3a. Curvas precisión-recall — balanceado</w:t>
      </w:r>
    </w:p>
    <w:p>
      <w:r>
        <w:drawing>
          <wp:inline xmlns:a="http://schemas.openxmlformats.org/drawingml/2006/main" xmlns:pic="http://schemas.openxmlformats.org/drawingml/2006/picture">
            <wp:extent cx="5486400" cy="4254440"/>
            <wp:docPr id="4" name="Picture 4"/>
            <wp:cNvGraphicFramePr>
              <a:graphicFrameLocks noChangeAspect="1"/>
            </wp:cNvGraphicFramePr>
            <a:graphic>
              <a:graphicData uri="http://schemas.openxmlformats.org/drawingml/2006/picture">
                <pic:pic>
                  <pic:nvPicPr>
                    <pic:cNvPr id="0" name="fig3a_curvas_pr_balanceado.png"/>
                    <pic:cNvPicPr/>
                  </pic:nvPicPr>
                  <pic:blipFill>
                    <a:blip r:embed="rId12"/>
                    <a:stretch>
                      <a:fillRect/>
                    </a:stretch>
                  </pic:blipFill>
                  <pic:spPr>
                    <a:xfrm>
                      <a:off x="0" y="0"/>
                      <a:ext cx="5486400" cy="4254440"/>
                    </a:xfrm>
                    <a:prstGeom prst="rect"/>
                  </pic:spPr>
                </pic:pic>
              </a:graphicData>
            </a:graphic>
          </wp:inline>
        </w:drawing>
      </w:r>
    </w:p>
    <w:p>
      <w:pPr>
        <w:pStyle w:val="Heading2"/>
      </w:pPr>
      <w:r>
        <w:t>Figura 3b. Curvas precisión-recall — prevalencia</w:t>
      </w:r>
    </w:p>
    <w:p>
      <w:r>
        <w:drawing>
          <wp:inline xmlns:a="http://schemas.openxmlformats.org/drawingml/2006/main" xmlns:pic="http://schemas.openxmlformats.org/drawingml/2006/picture">
            <wp:extent cx="5486400" cy="4254440"/>
            <wp:docPr id="5" name="Picture 5"/>
            <wp:cNvGraphicFramePr>
              <a:graphicFrameLocks noChangeAspect="1"/>
            </wp:cNvGraphicFramePr>
            <a:graphic>
              <a:graphicData uri="http://schemas.openxmlformats.org/drawingml/2006/picture">
                <pic:pic>
                  <pic:nvPicPr>
                    <pic:cNvPr id="0" name="fig3b_curvas_pr_prevalencia.png"/>
                    <pic:cNvPicPr/>
                  </pic:nvPicPr>
                  <pic:blipFill>
                    <a:blip r:embed="rId13"/>
                    <a:stretch>
                      <a:fillRect/>
                    </a:stretch>
                  </pic:blipFill>
                  <pic:spPr>
                    <a:xfrm>
                      <a:off x="0" y="0"/>
                      <a:ext cx="5486400" cy="4254440"/>
                    </a:xfrm>
                    <a:prstGeom prst="rect"/>
                  </pic:spPr>
                </pic:pic>
              </a:graphicData>
            </a:graphic>
          </wp:inline>
        </w:drawing>
      </w:r>
    </w:p>
    <w:p>
      <w:pPr>
        <w:pStyle w:val="Heading2"/>
      </w:pPr>
      <w:r>
        <w:t>Figura 4. Importancia por permutación</w:t>
      </w:r>
    </w:p>
    <w:p>
      <w:r>
        <w:drawing>
          <wp:inline xmlns:a="http://schemas.openxmlformats.org/drawingml/2006/main" xmlns:pic="http://schemas.openxmlformats.org/drawingml/2006/picture">
            <wp:extent cx="5486400" cy="3674556"/>
            <wp:docPr id="6" name="Picture 6"/>
            <wp:cNvGraphicFramePr>
              <a:graphicFrameLocks noChangeAspect="1"/>
            </wp:cNvGraphicFramePr>
            <a:graphic>
              <a:graphicData uri="http://schemas.openxmlformats.org/drawingml/2006/picture">
                <pic:pic>
                  <pic:nvPicPr>
                    <pic:cNvPr id="0" name="fig4_importancia_permutacion.png"/>
                    <pic:cNvPicPr/>
                  </pic:nvPicPr>
                  <pic:blipFill>
                    <a:blip r:embed="rId14"/>
                    <a:stretch>
                      <a:fillRect/>
                    </a:stretch>
                  </pic:blipFill>
                  <pic:spPr>
                    <a:xfrm>
                      <a:off x="0" y="0"/>
                      <a:ext cx="5486400" cy="3674556"/>
                    </a:xfrm>
                    <a:prstGeom prst="rect"/>
                  </pic:spPr>
                </pic:pic>
              </a:graphicData>
            </a:graphic>
          </wp:inline>
        </w:drawing>
      </w:r>
    </w:p>
    <w:p>
      <w:pPr>
        <w:pStyle w:val="Heading2"/>
      </w:pPr>
      <w:r>
        <w:t>Figura 5. Detección frente a severidad</w:t>
      </w:r>
    </w:p>
    <w:p>
      <w:r>
        <w:drawing>
          <wp:inline xmlns:a="http://schemas.openxmlformats.org/drawingml/2006/main" xmlns:pic="http://schemas.openxmlformats.org/drawingml/2006/picture">
            <wp:extent cx="5486400" cy="3797120"/>
            <wp:docPr id="7" name="Picture 7"/>
            <wp:cNvGraphicFramePr>
              <a:graphicFrameLocks noChangeAspect="1"/>
            </wp:cNvGraphicFramePr>
            <a:graphic>
              <a:graphicData uri="http://schemas.openxmlformats.org/drawingml/2006/picture">
                <pic:pic>
                  <pic:nvPicPr>
                    <pic:cNvPr id="0" name="fig5_deteccion_vs_severidad.png"/>
                    <pic:cNvPicPr/>
                  </pic:nvPicPr>
                  <pic:blipFill>
                    <a:blip r:embed="rId15"/>
                    <a:stretch>
                      <a:fillRect/>
                    </a:stretch>
                  </pic:blipFill>
                  <pic:spPr>
                    <a:xfrm>
                      <a:off x="0" y="0"/>
                      <a:ext cx="5486400" cy="3797120"/>
                    </a:xfrm>
                    <a:prstGeom prst="rect"/>
                  </pic:spPr>
                </pic:pic>
              </a:graphicData>
            </a:graphic>
          </wp:inline>
        </w:drawing>
      </w:r>
    </w:p>
    <w:p>
      <w:pPr>
        <w:pStyle w:val="Heading2"/>
      </w:pPr>
      <w:r>
        <w:t>Figura 6. Sensibilidad al ruido de los instrumentos</w:t>
      </w:r>
    </w:p>
    <w:p>
      <w:r>
        <w:drawing>
          <wp:inline xmlns:a="http://schemas.openxmlformats.org/drawingml/2006/main" xmlns:pic="http://schemas.openxmlformats.org/drawingml/2006/picture">
            <wp:extent cx="5486400" cy="3923267"/>
            <wp:docPr id="8" name="Picture 8"/>
            <wp:cNvGraphicFramePr>
              <a:graphicFrameLocks noChangeAspect="1"/>
            </wp:cNvGraphicFramePr>
            <a:graphic>
              <a:graphicData uri="http://schemas.openxmlformats.org/drawingml/2006/picture">
                <pic:pic>
                  <pic:nvPicPr>
                    <pic:cNvPr id="0" name="fig6_sensibilidad_ruido.png"/>
                    <pic:cNvPicPr/>
                  </pic:nvPicPr>
                  <pic:blipFill>
                    <a:blip r:embed="rId16"/>
                    <a:stretch>
                      <a:fillRect/>
                    </a:stretch>
                  </pic:blipFill>
                  <pic:spPr>
                    <a:xfrm>
                      <a:off x="0" y="0"/>
                      <a:ext cx="5486400" cy="3923267"/>
                    </a:xfrm>
                    <a:prstGeom prst="rect"/>
                  </pic:spPr>
                </pic:pic>
              </a:graphicData>
            </a:graphic>
          </wp:inline>
        </w:drawing>
      </w:r>
    </w:p>
    <w:p>
      <w:pPr>
        <w:pStyle w:val="Heading2"/>
      </w:pPr>
      <w:r>
        <w:t>Figura 8. Sensibilidad a la discrepancia entre modelo y planta</w:t>
      </w:r>
    </w:p>
    <w:p>
      <w:r>
        <w:drawing>
          <wp:inline xmlns:a="http://schemas.openxmlformats.org/drawingml/2006/main" xmlns:pic="http://schemas.openxmlformats.org/drawingml/2006/picture">
            <wp:extent cx="5486400" cy="3926073"/>
            <wp:docPr id="9" name="Picture 9"/>
            <wp:cNvGraphicFramePr>
              <a:graphicFrameLocks noChangeAspect="1"/>
            </wp:cNvGraphicFramePr>
            <a:graphic>
              <a:graphicData uri="http://schemas.openxmlformats.org/drawingml/2006/picture">
                <pic:pic>
                  <pic:nvPicPr>
                    <pic:cNvPr id="0" name="fig8_sensibilidad_discrepancia.png"/>
                    <pic:cNvPicPr/>
                  </pic:nvPicPr>
                  <pic:blipFill>
                    <a:blip r:embed="rId17"/>
                    <a:stretch>
                      <a:fillRect/>
                    </a:stretch>
                  </pic:blipFill>
                  <pic:spPr>
                    <a:xfrm>
                      <a:off x="0" y="0"/>
                      <a:ext cx="5486400" cy="3926073"/>
                    </a:xfrm>
                    <a:prstGeom prst="rect"/>
                  </pic:spPr>
                </pic:pic>
              </a:graphicData>
            </a:graphic>
          </wp:inline>
        </w:drawing>
      </w:r>
    </w:p>
    <w:p>
      <w:pPr>
        <w:pStyle w:val="Heading2"/>
      </w:pPr>
      <w:r>
        <w:t>Figura 7. Mapa de firmas: residuo medio por clase</w:t>
      </w:r>
    </w:p>
    <w:p>
      <w:r>
        <w:drawing>
          <wp:inline xmlns:a="http://schemas.openxmlformats.org/drawingml/2006/main" xmlns:pic="http://schemas.openxmlformats.org/drawingml/2006/picture">
            <wp:extent cx="5486400" cy="3424335"/>
            <wp:docPr id="10" name="Picture 10"/>
            <wp:cNvGraphicFramePr>
              <a:graphicFrameLocks noChangeAspect="1"/>
            </wp:cNvGraphicFramePr>
            <a:graphic>
              <a:graphicData uri="http://schemas.openxmlformats.org/drawingml/2006/picture">
                <pic:pic>
                  <pic:nvPicPr>
                    <pic:cNvPr id="0" name="fig7_mapa_firmas.png"/>
                    <pic:cNvPicPr/>
                  </pic:nvPicPr>
                  <pic:blipFill>
                    <a:blip r:embed="rId18"/>
                    <a:stretch>
                      <a:fillRect/>
                    </a:stretch>
                  </pic:blipFill>
                  <pic:spPr>
                    <a:xfrm>
                      <a:off x="0" y="0"/>
                      <a:ext cx="5486400" cy="3424335"/>
                    </a:xfrm>
                    <a:prstGeom prst="rect"/>
                  </pic:spPr>
                </pic:pic>
              </a:graphicData>
            </a:graphic>
          </wp:inline>
        </w:drawing>
      </w:r>
    </w:p>
    <w:p>
      <w:pPr>
        <w:pStyle w:val="Heading1"/>
      </w:pPr>
      <w:r>
        <w:t>4. Contraste con la expectativa física</w:t>
      </w:r>
    </w:p>
    <w:p>
      <w:r>
        <w:t>Para cada clase se compara el residuo que más la separa de la condición sana contra el que predice la física del modo de falla, por dos vías: el tamaño de efecto en los datos y el residuo que un árbol uno-contra-sano elige en su raíz.</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6"/>
              </w:rPr>
              <w:t>Clase</w:t>
            </w:r>
          </w:p>
        </w:tc>
        <w:tc>
          <w:tcPr>
            <w:tcW w:type="dxa" w:w="1728"/>
          </w:tcPr>
          <w:p>
            <w:r>
              <w:rPr>
                <w:b/>
                <w:sz w:val="16"/>
              </w:rPr>
              <w:t>Esperado por física</w:t>
            </w:r>
          </w:p>
        </w:tc>
        <w:tc>
          <w:tcPr>
            <w:tcW w:type="dxa" w:w="1728"/>
          </w:tcPr>
          <w:p>
            <w:r>
              <w:rPr>
                <w:b/>
                <w:sz w:val="16"/>
              </w:rPr>
              <w:t>Dominante en los datos</w:t>
            </w:r>
          </w:p>
        </w:tc>
        <w:tc>
          <w:tcPr>
            <w:tcW w:type="dxa" w:w="1728"/>
          </w:tcPr>
          <w:p>
            <w:r>
              <w:rPr>
                <w:b/>
                <w:sz w:val="16"/>
              </w:rPr>
              <w:t>Puesto del esperado</w:t>
            </w:r>
          </w:p>
        </w:tc>
        <w:tc>
          <w:tcPr>
            <w:tcW w:type="dxa" w:w="1728"/>
          </w:tcPr>
          <w:p>
            <w:r>
              <w:rPr>
                <w:b/>
                <w:sz w:val="16"/>
              </w:rPr>
              <w:t>Raíz del árbol</w:t>
            </w:r>
          </w:p>
        </w:tc>
      </w:tr>
      <w:tr>
        <w:tc>
          <w:tcPr>
            <w:tcW w:type="dxa" w:w="1728"/>
          </w:tcPr>
          <w:p>
            <w:r>
              <w:rPr>
                <w:sz w:val="16"/>
              </w:rPr>
              <w:t>condensador_sucio</w:t>
            </w:r>
          </w:p>
        </w:tc>
        <w:tc>
          <w:tcPr>
            <w:tcW w:type="dxa" w:w="1728"/>
          </w:tcPr>
          <w:p>
            <w:r>
              <w:rPr>
                <w:sz w:val="16"/>
              </w:rPr>
              <w:t>res_split_cond</w:t>
            </w:r>
          </w:p>
        </w:tc>
        <w:tc>
          <w:tcPr>
            <w:tcW w:type="dxa" w:w="1728"/>
          </w:tcPr>
          <w:p>
            <w:r>
              <w:rPr>
                <w:sz w:val="16"/>
              </w:rPr>
              <w:t>res_split_cond</w:t>
            </w:r>
          </w:p>
        </w:tc>
        <w:tc>
          <w:tcPr>
            <w:tcW w:type="dxa" w:w="1728"/>
          </w:tcPr>
          <w:p>
            <w:r>
              <w:rPr>
                <w:sz w:val="16"/>
              </w:rPr>
              <w:t>1</w:t>
            </w:r>
          </w:p>
        </w:tc>
        <w:tc>
          <w:tcPr>
            <w:tcW w:type="dxa" w:w="1728"/>
          </w:tcPr>
          <w:p>
            <w:r>
              <w:rPr>
                <w:sz w:val="16"/>
              </w:rPr>
              <w:t>res_split_cond</w:t>
            </w:r>
          </w:p>
        </w:tc>
      </w:tr>
      <w:tr>
        <w:tc>
          <w:tcPr>
            <w:tcW w:type="dxa" w:w="1728"/>
          </w:tcPr>
          <w:p>
            <w:r>
              <w:rPr>
                <w:sz w:val="16"/>
              </w:rPr>
              <w:t>incrustacion_evaporador</w:t>
            </w:r>
          </w:p>
        </w:tc>
        <w:tc>
          <w:tcPr>
            <w:tcW w:type="dxa" w:w="1728"/>
          </w:tcPr>
          <w:p>
            <w:r>
              <w:rPr>
                <w:sz w:val="16"/>
              </w:rPr>
              <w:t>res_approach_ev</w:t>
            </w:r>
          </w:p>
        </w:tc>
        <w:tc>
          <w:tcPr>
            <w:tcW w:type="dxa" w:w="1728"/>
          </w:tcPr>
          <w:p>
            <w:r>
              <w:rPr>
                <w:sz w:val="16"/>
              </w:rPr>
              <w:t>res_approach_ev</w:t>
            </w:r>
          </w:p>
        </w:tc>
        <w:tc>
          <w:tcPr>
            <w:tcW w:type="dxa" w:w="1728"/>
          </w:tcPr>
          <w:p>
            <w:r>
              <w:rPr>
                <w:sz w:val="16"/>
              </w:rPr>
              <w:t>1</w:t>
            </w:r>
          </w:p>
        </w:tc>
        <w:tc>
          <w:tcPr>
            <w:tcW w:type="dxa" w:w="1728"/>
          </w:tcPr>
          <w:p>
            <w:r>
              <w:rPr>
                <w:sz w:val="16"/>
              </w:rPr>
              <w:t>res_approach_ev</w:t>
            </w:r>
          </w:p>
        </w:tc>
      </w:tr>
      <w:tr>
        <w:tc>
          <w:tcPr>
            <w:tcW w:type="dxa" w:w="1728"/>
          </w:tcPr>
          <w:p>
            <w:r>
              <w:rPr>
                <w:sz w:val="16"/>
              </w:rPr>
              <w:t>caudal_agua_bajo</w:t>
            </w:r>
          </w:p>
        </w:tc>
        <w:tc>
          <w:tcPr>
            <w:tcW w:type="dxa" w:w="1728"/>
          </w:tcPr>
          <w:p>
            <w:r>
              <w:rPr>
                <w:sz w:val="16"/>
              </w:rPr>
              <w:t>res_dT_agua_ev</w:t>
            </w:r>
          </w:p>
        </w:tc>
        <w:tc>
          <w:tcPr>
            <w:tcW w:type="dxa" w:w="1728"/>
          </w:tcPr>
          <w:p>
            <w:r>
              <w:rPr>
                <w:sz w:val="16"/>
              </w:rPr>
              <w:t>res_dT_agua_ev</w:t>
            </w:r>
          </w:p>
        </w:tc>
        <w:tc>
          <w:tcPr>
            <w:tcW w:type="dxa" w:w="1728"/>
          </w:tcPr>
          <w:p>
            <w:r>
              <w:rPr>
                <w:sz w:val="16"/>
              </w:rPr>
              <w:t>1</w:t>
            </w:r>
          </w:p>
        </w:tc>
        <w:tc>
          <w:tcPr>
            <w:tcW w:type="dxa" w:w="1728"/>
          </w:tcPr>
          <w:p>
            <w:r>
              <w:rPr>
                <w:sz w:val="16"/>
              </w:rPr>
              <w:t>res_dT_agua_ev</w:t>
            </w:r>
          </w:p>
        </w:tc>
      </w:tr>
      <w:tr>
        <w:tc>
          <w:tcPr>
            <w:tcW w:type="dxa" w:w="1728"/>
          </w:tcPr>
          <w:p>
            <w:r>
              <w:rPr>
                <w:sz w:val="16"/>
              </w:rPr>
              <w:t>carga_baja</w:t>
            </w:r>
          </w:p>
        </w:tc>
        <w:tc>
          <w:tcPr>
            <w:tcW w:type="dxa" w:w="1728"/>
          </w:tcPr>
          <w:p>
            <w:r>
              <w:rPr>
                <w:sz w:val="16"/>
              </w:rPr>
              <w:t>res_SC</w:t>
            </w:r>
          </w:p>
        </w:tc>
        <w:tc>
          <w:tcPr>
            <w:tcW w:type="dxa" w:w="1728"/>
          </w:tcPr>
          <w:p>
            <w:r>
              <w:rPr>
                <w:sz w:val="16"/>
              </w:rPr>
              <w:t>res_SC</w:t>
            </w:r>
          </w:p>
        </w:tc>
        <w:tc>
          <w:tcPr>
            <w:tcW w:type="dxa" w:w="1728"/>
          </w:tcPr>
          <w:p>
            <w:r>
              <w:rPr>
                <w:sz w:val="16"/>
              </w:rPr>
              <w:t>1</w:t>
            </w:r>
          </w:p>
        </w:tc>
        <w:tc>
          <w:tcPr>
            <w:tcW w:type="dxa" w:w="1728"/>
          </w:tcPr>
          <w:p>
            <w:r>
              <w:rPr>
                <w:sz w:val="16"/>
              </w:rPr>
              <w:t>res_SC</w:t>
            </w:r>
          </w:p>
        </w:tc>
      </w:tr>
      <w:tr>
        <w:tc>
          <w:tcPr>
            <w:tcW w:type="dxa" w:w="1728"/>
          </w:tcPr>
          <w:p>
            <w:r>
              <w:rPr>
                <w:sz w:val="16"/>
              </w:rPr>
              <w:t>sobrecarga</w:t>
            </w:r>
          </w:p>
        </w:tc>
        <w:tc>
          <w:tcPr>
            <w:tcW w:type="dxa" w:w="1728"/>
          </w:tcPr>
          <w:p>
            <w:r>
              <w:rPr>
                <w:sz w:val="16"/>
              </w:rPr>
              <w:t>res_SC</w:t>
            </w:r>
          </w:p>
        </w:tc>
        <w:tc>
          <w:tcPr>
            <w:tcW w:type="dxa" w:w="1728"/>
          </w:tcPr>
          <w:p>
            <w:r>
              <w:rPr>
                <w:sz w:val="16"/>
              </w:rPr>
              <w:t>res_SC</w:t>
            </w:r>
          </w:p>
        </w:tc>
        <w:tc>
          <w:tcPr>
            <w:tcW w:type="dxa" w:w="1728"/>
          </w:tcPr>
          <w:p>
            <w:r>
              <w:rPr>
                <w:sz w:val="16"/>
              </w:rPr>
              <w:t>1</w:t>
            </w:r>
          </w:p>
        </w:tc>
        <w:tc>
          <w:tcPr>
            <w:tcW w:type="dxa" w:w="1728"/>
          </w:tcPr>
          <w:p>
            <w:r>
              <w:rPr>
                <w:sz w:val="16"/>
              </w:rPr>
              <w:t>res_SC</w:t>
            </w:r>
          </w:p>
        </w:tc>
      </w:tr>
      <w:tr>
        <w:tc>
          <w:tcPr>
            <w:tcW w:type="dxa" w:w="1728"/>
          </w:tcPr>
          <w:p>
            <w:r>
              <w:rPr>
                <w:sz w:val="16"/>
              </w:rPr>
              <w:t>txv_restringida</w:t>
            </w:r>
          </w:p>
        </w:tc>
        <w:tc>
          <w:tcPr>
            <w:tcW w:type="dxa" w:w="1728"/>
          </w:tcPr>
          <w:p>
            <w:r>
              <w:rPr>
                <w:sz w:val="16"/>
              </w:rPr>
              <w:t>res_SH_evap</w:t>
            </w:r>
          </w:p>
        </w:tc>
        <w:tc>
          <w:tcPr>
            <w:tcW w:type="dxa" w:w="1728"/>
          </w:tcPr>
          <w:p>
            <w:r>
              <w:rPr>
                <w:sz w:val="16"/>
              </w:rPr>
              <w:t>res_SH_total</w:t>
            </w:r>
          </w:p>
        </w:tc>
        <w:tc>
          <w:tcPr>
            <w:tcW w:type="dxa" w:w="1728"/>
          </w:tcPr>
          <w:p>
            <w:r>
              <w:rPr>
                <w:sz w:val="16"/>
              </w:rPr>
              <w:t>2</w:t>
            </w:r>
          </w:p>
        </w:tc>
        <w:tc>
          <w:tcPr>
            <w:tcW w:type="dxa" w:w="1728"/>
          </w:tcPr>
          <w:p>
            <w:r>
              <w:rPr>
                <w:sz w:val="16"/>
              </w:rPr>
              <w:t>res_SH_total</w:t>
            </w:r>
          </w:p>
        </w:tc>
      </w:tr>
      <w:tr>
        <w:tc>
          <w:tcPr>
            <w:tcW w:type="dxa" w:w="1728"/>
          </w:tcPr>
          <w:p>
            <w:r>
              <w:rPr>
                <w:sz w:val="16"/>
              </w:rPr>
              <w:t>txv_sobrealimenta</w:t>
            </w:r>
          </w:p>
        </w:tc>
        <w:tc>
          <w:tcPr>
            <w:tcW w:type="dxa" w:w="1728"/>
          </w:tcPr>
          <w:p>
            <w:r>
              <w:rPr>
                <w:sz w:val="16"/>
              </w:rPr>
              <w:t>res_SH_evap</w:t>
            </w:r>
          </w:p>
        </w:tc>
        <w:tc>
          <w:tcPr>
            <w:tcW w:type="dxa" w:w="1728"/>
          </w:tcPr>
          <w:p>
            <w:r>
              <w:rPr>
                <w:sz w:val="16"/>
              </w:rPr>
              <w:t>res_SH_total</w:t>
            </w:r>
          </w:p>
        </w:tc>
        <w:tc>
          <w:tcPr>
            <w:tcW w:type="dxa" w:w="1728"/>
          </w:tcPr>
          <w:p>
            <w:r>
              <w:rPr>
                <w:sz w:val="16"/>
              </w:rPr>
              <w:t>2</w:t>
            </w:r>
          </w:p>
        </w:tc>
        <w:tc>
          <w:tcPr>
            <w:tcW w:type="dxa" w:w="1728"/>
          </w:tcPr>
          <w:p>
            <w:r>
              <w:rPr>
                <w:sz w:val="16"/>
              </w:rPr>
              <w:t>res_SH_total</w:t>
            </w:r>
          </w:p>
        </w:tc>
      </w:tr>
      <w:tr>
        <w:tc>
          <w:tcPr>
            <w:tcW w:type="dxa" w:w="1728"/>
          </w:tcPr>
          <w:p>
            <w:r>
              <w:rPr>
                <w:sz w:val="16"/>
              </w:rPr>
              <w:t>compresor_desgastado</w:t>
            </w:r>
          </w:p>
        </w:tc>
        <w:tc>
          <w:tcPr>
            <w:tcW w:type="dxa" w:w="1728"/>
          </w:tcPr>
          <w:p>
            <w:r>
              <w:rPr>
                <w:sz w:val="16"/>
              </w:rPr>
              <w:t>res_SH_des</w:t>
            </w:r>
          </w:p>
        </w:tc>
        <w:tc>
          <w:tcPr>
            <w:tcW w:type="dxa" w:w="1728"/>
          </w:tcPr>
          <w:p>
            <w:r>
              <w:rPr>
                <w:sz w:val="16"/>
              </w:rPr>
              <w:t>res_SH_des</w:t>
            </w:r>
          </w:p>
        </w:tc>
        <w:tc>
          <w:tcPr>
            <w:tcW w:type="dxa" w:w="1728"/>
          </w:tcPr>
          <w:p>
            <w:r>
              <w:rPr>
                <w:sz w:val="16"/>
              </w:rPr>
              <w:t>1</w:t>
            </w:r>
          </w:p>
        </w:tc>
        <w:tc>
          <w:tcPr>
            <w:tcW w:type="dxa" w:w="1728"/>
          </w:tcPr>
          <w:p>
            <w:r>
              <w:rPr>
                <w:sz w:val="16"/>
              </w:rPr>
              <w:t>res_SH_des</w:t>
            </w:r>
          </w:p>
        </w:tc>
      </w:tr>
      <w:tr>
        <w:tc>
          <w:tcPr>
            <w:tcW w:type="dxa" w:w="1728"/>
          </w:tcPr>
          <w:p>
            <w:r>
              <w:rPr>
                <w:sz w:val="16"/>
              </w:rPr>
              <w:t>incondensables</w:t>
            </w:r>
          </w:p>
        </w:tc>
        <w:tc>
          <w:tcPr>
            <w:tcW w:type="dxa" w:w="1728"/>
          </w:tcPr>
          <w:p>
            <w:r>
              <w:rPr>
                <w:sz w:val="16"/>
              </w:rPr>
              <w:t>res_split_cond</w:t>
            </w:r>
          </w:p>
        </w:tc>
        <w:tc>
          <w:tcPr>
            <w:tcW w:type="dxa" w:w="1728"/>
          </w:tcPr>
          <w:p>
            <w:r>
              <w:rPr>
                <w:sz w:val="16"/>
              </w:rPr>
              <w:t>res_split_cond</w:t>
            </w:r>
          </w:p>
        </w:tc>
        <w:tc>
          <w:tcPr>
            <w:tcW w:type="dxa" w:w="1728"/>
          </w:tcPr>
          <w:p>
            <w:r>
              <w:rPr>
                <w:sz w:val="16"/>
              </w:rPr>
              <w:t>1</w:t>
            </w:r>
          </w:p>
        </w:tc>
        <w:tc>
          <w:tcPr>
            <w:tcW w:type="dxa" w:w="1728"/>
          </w:tcPr>
          <w:p>
            <w:r>
              <w:rPr>
                <w:sz w:val="16"/>
              </w:rPr>
              <w:t>res_SC</w:t>
            </w:r>
          </w:p>
        </w:tc>
      </w:tr>
      <w:tr>
        <w:tc>
          <w:tcPr>
            <w:tcW w:type="dxa" w:w="1728"/>
          </w:tcPr>
          <w:p>
            <w:r>
              <w:rPr>
                <w:sz w:val="16"/>
              </w:rPr>
              <w:t>restriccion_linea_liquido</w:t>
            </w:r>
          </w:p>
        </w:tc>
        <w:tc>
          <w:tcPr>
            <w:tcW w:type="dxa" w:w="1728"/>
          </w:tcPr>
          <w:p>
            <w:r>
              <w:rPr>
                <w:sz w:val="16"/>
              </w:rPr>
              <w:t>res_SH_evap</w:t>
            </w:r>
          </w:p>
        </w:tc>
        <w:tc>
          <w:tcPr>
            <w:tcW w:type="dxa" w:w="1728"/>
          </w:tcPr>
          <w:p>
            <w:r>
              <w:rPr>
                <w:sz w:val="16"/>
              </w:rPr>
              <w:t>res_SC</w:t>
            </w:r>
          </w:p>
        </w:tc>
        <w:tc>
          <w:tcPr>
            <w:tcW w:type="dxa" w:w="1728"/>
          </w:tcPr>
          <w:p>
            <w:r>
              <w:rPr>
                <w:sz w:val="16"/>
              </w:rPr>
              <w:t>3</w:t>
            </w:r>
          </w:p>
        </w:tc>
        <w:tc>
          <w:tcPr>
            <w:tcW w:type="dxa" w:w="1728"/>
          </w:tcPr>
          <w:p>
            <w:r>
              <w:rPr>
                <w:sz w:val="16"/>
              </w:rPr>
              <w:t>res_SC</w:t>
            </w:r>
          </w:p>
        </w:tc>
      </w:tr>
    </w:tbl>
    <w:p>
      <w:r>
        <w:t>No se usó la importancia por permutación para este contraste: con cientos de árboles y residuos correlacionados entre sí, permutar una sola característica apenas mueve la predicción porque el modelo se apoya en las demás, y el ranking queda dominado por el ruido. La figura 4 conserva la importancia por permutación global, que es la que pide la especificación.</w:t>
      </w:r>
    </w:p>
    <w:p>
      <w:pPr>
        <w:pStyle w:val="Heading1"/>
      </w:pPr>
      <w:r>
        <w:t>5. Sensibilidad a la discrepancia entre modelo y planta</w:t>
      </w:r>
    </w:p>
    <w:p>
      <w:r>
        <w:t>Responde la pregunta de ingeniería que conecta esta fase con la calibración contra mediciones de campo: ¿con qué exactitud hay que calibrar el gemelo digital para que el diagnóstico siga siendo útil? El nivel 0 % es una COTA SUPERIOR TEÓRICA, inalcanzable en campo: supone que el modelo reproduce el equipo exactamente.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6"/>
              </w:rPr>
              <w:t>Discrepancia δ</w:t>
            </w:r>
          </w:p>
        </w:tc>
        <w:tc>
          <w:tcPr>
            <w:tcW w:type="dxa" w:w="2160"/>
          </w:tcPr>
          <w:p>
            <w:r>
              <w:rPr>
                <w:b/>
                <w:sz w:val="16"/>
              </w:rPr>
              <w:t>F1 macro</w:t>
            </w:r>
          </w:p>
        </w:tc>
        <w:tc>
          <w:tcPr>
            <w:tcW w:type="dxa" w:w="2160"/>
          </w:tcPr>
          <w:p>
            <w:r>
              <w:rPr>
                <w:b/>
                <w:sz w:val="16"/>
              </w:rPr>
              <w:t>Diagnóstico incipiente</w:t>
            </w:r>
          </w:p>
        </w:tc>
        <w:tc>
          <w:tcPr>
            <w:tcW w:type="dxa" w:w="2160"/>
          </w:tcPr>
          <w:p>
            <w:r>
              <w:rPr>
                <w:b/>
                <w:sz w:val="16"/>
              </w:rPr>
              <w:t>Detección incipiente</w:t>
            </w:r>
          </w:p>
        </w:tc>
      </w:tr>
      <w:tr>
        <w:tc>
          <w:tcPr>
            <w:tcW w:type="dxa" w:w="2160"/>
          </w:tcPr>
          <w:p>
            <w:r>
              <w:rPr>
                <w:sz w:val="16"/>
              </w:rPr>
              <w:t>0% (cota superior)</w:t>
            </w:r>
          </w:p>
        </w:tc>
        <w:tc>
          <w:tcPr>
            <w:tcW w:type="dxa" w:w="2160"/>
          </w:tcPr>
          <w:p>
            <w:r>
              <w:rPr>
                <w:sz w:val="16"/>
              </w:rPr>
              <w:t>0.8231</w:t>
            </w:r>
          </w:p>
        </w:tc>
        <w:tc>
          <w:tcPr>
            <w:tcW w:type="dxa" w:w="2160"/>
          </w:tcPr>
          <w:p>
            <w:r>
              <w:rPr>
                <w:sz w:val="16"/>
              </w:rPr>
              <w:t>0.6412</w:t>
            </w:r>
          </w:p>
        </w:tc>
        <w:tc>
          <w:tcPr>
            <w:tcW w:type="dxa" w:w="2160"/>
          </w:tcPr>
          <w:p>
            <w:r>
              <w:rPr>
                <w:sz w:val="16"/>
              </w:rPr>
              <w:t>0.8235</w:t>
            </w:r>
          </w:p>
        </w:tc>
      </w:tr>
      <w:tr>
        <w:tc>
          <w:tcPr>
            <w:tcW w:type="dxa" w:w="2160"/>
          </w:tcPr>
          <w:p>
            <w:r>
              <w:rPr>
                <w:sz w:val="16"/>
              </w:rPr>
              <w:t>3%</w:t>
            </w:r>
          </w:p>
        </w:tc>
        <w:tc>
          <w:tcPr>
            <w:tcW w:type="dxa" w:w="2160"/>
          </w:tcPr>
          <w:p>
            <w:r>
              <w:rPr>
                <w:sz w:val="16"/>
              </w:rPr>
              <w:t>0.7700</w:t>
            </w:r>
          </w:p>
        </w:tc>
        <w:tc>
          <w:tcPr>
            <w:tcW w:type="dxa" w:w="2160"/>
          </w:tcPr>
          <w:p>
            <w:r>
              <w:rPr>
                <w:sz w:val="16"/>
              </w:rPr>
              <w:t>0.5294</w:t>
            </w:r>
          </w:p>
        </w:tc>
        <w:tc>
          <w:tcPr>
            <w:tcW w:type="dxa" w:w="2160"/>
          </w:tcPr>
          <w:p>
            <w:r>
              <w:rPr>
                <w:sz w:val="16"/>
              </w:rPr>
              <w:t>0.7765</w:t>
            </w:r>
          </w:p>
        </w:tc>
      </w:tr>
      <w:tr>
        <w:tc>
          <w:tcPr>
            <w:tcW w:type="dxa" w:w="2160"/>
          </w:tcPr>
          <w:p>
            <w:r>
              <w:rPr>
                <w:sz w:val="16"/>
              </w:rPr>
              <w:t>5%</w:t>
            </w:r>
          </w:p>
        </w:tc>
        <w:tc>
          <w:tcPr>
            <w:tcW w:type="dxa" w:w="2160"/>
          </w:tcPr>
          <w:p>
            <w:r>
              <w:rPr>
                <w:sz w:val="16"/>
              </w:rPr>
              <w:t>0.7628</w:t>
            </w:r>
          </w:p>
        </w:tc>
        <w:tc>
          <w:tcPr>
            <w:tcW w:type="dxa" w:w="2160"/>
          </w:tcPr>
          <w:p>
            <w:r>
              <w:rPr>
                <w:sz w:val="16"/>
              </w:rPr>
              <w:t>0.5059</w:t>
            </w:r>
          </w:p>
        </w:tc>
        <w:tc>
          <w:tcPr>
            <w:tcW w:type="dxa" w:w="2160"/>
          </w:tcPr>
          <w:p>
            <w:r>
              <w:rPr>
                <w:sz w:val="16"/>
              </w:rPr>
              <w:t>0.7824</w:t>
            </w:r>
          </w:p>
        </w:tc>
      </w:tr>
      <w:tr>
        <w:tc>
          <w:tcPr>
            <w:tcW w:type="dxa" w:w="2160"/>
          </w:tcPr>
          <w:p>
            <w:r>
              <w:rPr>
                <w:sz w:val="16"/>
              </w:rPr>
              <w:t>8%</w:t>
            </w:r>
          </w:p>
        </w:tc>
        <w:tc>
          <w:tcPr>
            <w:tcW w:type="dxa" w:w="2160"/>
          </w:tcPr>
          <w:p>
            <w:r>
              <w:rPr>
                <w:sz w:val="16"/>
              </w:rPr>
              <w:t>0.7522</w:t>
            </w:r>
          </w:p>
        </w:tc>
        <w:tc>
          <w:tcPr>
            <w:tcW w:type="dxa" w:w="2160"/>
          </w:tcPr>
          <w:p>
            <w:r>
              <w:rPr>
                <w:sz w:val="16"/>
              </w:rPr>
              <w:t>0.4941</w:t>
            </w:r>
          </w:p>
        </w:tc>
        <w:tc>
          <w:tcPr>
            <w:tcW w:type="dxa" w:w="2160"/>
          </w:tcPr>
          <w:p>
            <w:r>
              <w:rPr>
                <w:sz w:val="16"/>
              </w:rPr>
              <w:t>0.7588</w:t>
            </w:r>
          </w:p>
        </w:tc>
      </w:tr>
      <w:tr>
        <w:tc>
          <w:tcPr>
            <w:tcW w:type="dxa" w:w="2160"/>
          </w:tcPr>
          <w:p>
            <w:r>
              <w:rPr>
                <w:sz w:val="16"/>
              </w:rPr>
              <w:t>15%</w:t>
            </w:r>
          </w:p>
        </w:tc>
        <w:tc>
          <w:tcPr>
            <w:tcW w:type="dxa" w:w="2160"/>
          </w:tcPr>
          <w:p>
            <w:r>
              <w:rPr>
                <w:sz w:val="16"/>
              </w:rPr>
              <w:t>0.6693</w:t>
            </w:r>
          </w:p>
        </w:tc>
        <w:tc>
          <w:tcPr>
            <w:tcW w:type="dxa" w:w="2160"/>
          </w:tcPr>
          <w:p>
            <w:r>
              <w:rPr>
                <w:sz w:val="16"/>
              </w:rPr>
              <w:t>0.3941</w:t>
            </w:r>
          </w:p>
        </w:tc>
        <w:tc>
          <w:tcPr>
            <w:tcW w:type="dxa" w:w="2160"/>
          </w:tcPr>
          <w:p>
            <w:r>
              <w:rPr>
                <w:sz w:val="16"/>
              </w:rPr>
              <w:t>0.7647</w:t>
            </w:r>
          </w:p>
        </w:tc>
      </w:tr>
    </w:tbl>
    <w:p>
      <w:pPr>
        <w:pStyle w:val="Heading2"/>
      </w:pPr>
      <w:r>
        <w:t>5.1 Dispersión entre implantaciones</w:t>
      </w:r>
    </w:p>
    <w:p>
      <w:r>
        <w:t>El barrido anterior sortea un error de calibración distinto para cada condición, así que mide el efecto PROMEDIO del nivel de discrepancia. Estas 5 repeticiones hacen otra cosa: cada una usa un ÚNICO error de calibración para toda la corrida, que es lo que le ocurre a una instalación concreta según cómo haya quedado calibrado su gemelo.</w:t>
      </w:r>
    </w:p>
    <w:p>
      <w:r>
        <w:t>F1 macro: media 0.7917, desviación 0.0044, rango [0.7861, 0.7961]. Diagnóstico incipiente: media 0.5835 ± 0.0240.</w:t>
      </w:r>
    </w:p>
    <w:p>
      <w:r>
        <w:t>Esa dispersión es la incertidumbre que debe acompañar cualquier promesa de desempeño hecha antes de calibrar el gemelo contra el equipo real.</w:t>
      </w:r>
    </w:p>
    <w:p>
      <w:pPr>
        <w:pStyle w:val="Heading1"/>
      </w:pPr>
      <w:r>
        <w:t>6. Sensibilidad al ruido de los instrumentos</w:t>
      </w:r>
    </w:p>
    <w:p>
      <w:r>
        <w:t>El factor 1,0 corresponde a la exactitud declarada de los instrumentos usados en campo en la Fase 1.</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6"/>
              </w:rPr>
              <w:t>Factor de ruido</w:t>
            </w:r>
          </w:p>
        </w:tc>
        <w:tc>
          <w:tcPr>
            <w:tcW w:type="dxa" w:w="2160"/>
          </w:tcPr>
          <w:p>
            <w:r>
              <w:rPr>
                <w:b/>
                <w:sz w:val="16"/>
              </w:rPr>
              <w:t>F1 macro</w:t>
            </w:r>
          </w:p>
        </w:tc>
        <w:tc>
          <w:tcPr>
            <w:tcW w:type="dxa" w:w="2160"/>
          </w:tcPr>
          <w:p>
            <w:r>
              <w:rPr>
                <w:b/>
                <w:sz w:val="16"/>
              </w:rPr>
              <w:t>Diagnóstico incipiente</w:t>
            </w:r>
          </w:p>
        </w:tc>
        <w:tc>
          <w:tcPr>
            <w:tcW w:type="dxa" w:w="2160"/>
          </w:tcPr>
          <w:p>
            <w:r>
              <w:rPr>
                <w:b/>
                <w:sz w:val="16"/>
              </w:rPr>
              <w:t>Detección incipiente</w:t>
            </w:r>
          </w:p>
        </w:tc>
      </w:tr>
      <w:tr>
        <w:tc>
          <w:tcPr>
            <w:tcW w:type="dxa" w:w="2160"/>
          </w:tcPr>
          <w:p>
            <w:r>
              <w:rPr>
                <w:sz w:val="16"/>
              </w:rPr>
              <w:t>×0.5</w:t>
            </w:r>
          </w:p>
        </w:tc>
        <w:tc>
          <w:tcPr>
            <w:tcW w:type="dxa" w:w="2160"/>
          </w:tcPr>
          <w:p>
            <w:r>
              <w:rPr>
                <w:sz w:val="16"/>
              </w:rPr>
              <w:t>0.8234</w:t>
            </w:r>
          </w:p>
        </w:tc>
        <w:tc>
          <w:tcPr>
            <w:tcW w:type="dxa" w:w="2160"/>
          </w:tcPr>
          <w:p>
            <w:r>
              <w:rPr>
                <w:sz w:val="16"/>
              </w:rPr>
              <w:t>0.6294</w:t>
            </w:r>
          </w:p>
        </w:tc>
        <w:tc>
          <w:tcPr>
            <w:tcW w:type="dxa" w:w="2160"/>
          </w:tcPr>
          <w:p>
            <w:r>
              <w:rPr>
                <w:sz w:val="16"/>
              </w:rPr>
              <w:t>0.7882</w:t>
            </w:r>
          </w:p>
        </w:tc>
      </w:tr>
      <w:tr>
        <w:tc>
          <w:tcPr>
            <w:tcW w:type="dxa" w:w="2160"/>
          </w:tcPr>
          <w:p>
            <w:r>
              <w:rPr>
                <w:sz w:val="16"/>
              </w:rPr>
              <w:t>×1.0</w:t>
            </w:r>
          </w:p>
        </w:tc>
        <w:tc>
          <w:tcPr>
            <w:tcW w:type="dxa" w:w="2160"/>
          </w:tcPr>
          <w:p>
            <w:r>
              <w:rPr>
                <w:sz w:val="16"/>
              </w:rPr>
              <w:t>0.7628</w:t>
            </w:r>
          </w:p>
        </w:tc>
        <w:tc>
          <w:tcPr>
            <w:tcW w:type="dxa" w:w="2160"/>
          </w:tcPr>
          <w:p>
            <w:r>
              <w:rPr>
                <w:sz w:val="16"/>
              </w:rPr>
              <w:t>0.5059</w:t>
            </w:r>
          </w:p>
        </w:tc>
        <w:tc>
          <w:tcPr>
            <w:tcW w:type="dxa" w:w="2160"/>
          </w:tcPr>
          <w:p>
            <w:r>
              <w:rPr>
                <w:sz w:val="16"/>
              </w:rPr>
              <w:t>0.7824</w:t>
            </w:r>
          </w:p>
        </w:tc>
      </w:tr>
      <w:tr>
        <w:tc>
          <w:tcPr>
            <w:tcW w:type="dxa" w:w="2160"/>
          </w:tcPr>
          <w:p>
            <w:r>
              <w:rPr>
                <w:sz w:val="16"/>
              </w:rPr>
              <w:t>×2.0</w:t>
            </w:r>
          </w:p>
        </w:tc>
        <w:tc>
          <w:tcPr>
            <w:tcW w:type="dxa" w:w="2160"/>
          </w:tcPr>
          <w:p>
            <w:r>
              <w:rPr>
                <w:sz w:val="16"/>
              </w:rPr>
              <w:t>0.6512</w:t>
            </w:r>
          </w:p>
        </w:tc>
        <w:tc>
          <w:tcPr>
            <w:tcW w:type="dxa" w:w="2160"/>
          </w:tcPr>
          <w:p>
            <w:r>
              <w:rPr>
                <w:sz w:val="16"/>
              </w:rPr>
              <w:t>0.3765</w:t>
            </w:r>
          </w:p>
        </w:tc>
        <w:tc>
          <w:tcPr>
            <w:tcW w:type="dxa" w:w="2160"/>
          </w:tcPr>
          <w:p>
            <w:r>
              <w:rPr>
                <w:sz w:val="16"/>
              </w:rPr>
              <w:t>0.8176</w:t>
            </w:r>
          </w:p>
        </w:tc>
      </w:tr>
    </w:tbl>
    <w:p>
      <w:pPr>
        <w:pStyle w:val="Heading1"/>
      </w:pPr>
      <w:r>
        <w:t>7. Modelo secundario de severidad</w:t>
      </w:r>
    </w:p>
    <w:p>
      <w:r>
        <w:t>RandomForestRegressor entrenado solo con muestras con falla (8311 muestras). MAE en validación: 0.1041; R²: 0.6510. MAE en prueba: 0.1030; R²: 0.6520.</w:t>
      </w:r>
    </w:p>
    <w:p>
      <w:r>
        <w:t>Sirve para priorizar la orden de trabajo: no es lo mismo una incrustación incipiente que una severa.</w:t>
      </w:r>
    </w:p>
    <w:p>
      <w:pPr>
        <w:pStyle w:val="Heading1"/>
      </w:pPr>
      <w:r>
        <w:t>8. Referencias</w:t>
      </w:r>
    </w:p>
    <w:p>
      <w:pPr>
        <w:pStyle w:val="ListBullet"/>
      </w:pPr>
      <w:r>
        <w:t>Bell, I. H., Wronski, J., Quoilin, S., &amp; Lemort, V. (2014). Pure and pseudo-pure fluid thermophysical property evaluation and the open-source thermophysical property library CoolProp. Industrial &amp; Engineering Chemistry Research, 53(6), 2498–2508.</w:t>
      </w:r>
    </w:p>
    <w:p>
      <w:pPr>
        <w:pStyle w:val="ListBullet"/>
      </w:pPr>
      <w:r>
        <w:t>Breiman, L. (2001). Random forests. Machine Learning, 45(1), 5–32.</w:t>
      </w:r>
    </w:p>
    <w:p>
      <w:pPr>
        <w:pStyle w:val="ListBullet"/>
      </w:pPr>
      <w:r>
        <w:t>Katipamula, S., &amp; Brambley, M. R. (2005). Methods for fault detection, diagnostics, and prognostics for building systems — A review, Part I y Part II. HVAC&amp;R Research, 11(1), 3–25 y 11(2), 169–187.</w:t>
      </w:r>
    </w:p>
    <w:p>
      <w:pPr>
        <w:pStyle w:val="ListBullet"/>
      </w:pPr>
      <w:r>
        <w:t>Pedregosa, F., et al. (2011). Scikit-learn: Machine learning in Python. Journal of Machine Learning Research, 12, 2825–2830.</w:t>
      </w:r>
    </w:p>
    <w:p>
      <w:pPr>
        <w:pStyle w:val="ListBullet"/>
      </w:pPr>
      <w:r>
        <w:t>Saito, T., &amp; Rehmsmeier, M. (2015). The precision-recall plot is more informative than the ROC plot when evaluating binary classifiers on imbalanced datasets. PLOS ONE, 10(3), e0118432.</w:t>
      </w:r>
    </w:p>
    <w:p>
      <w:pPr>
        <w:pStyle w:val="ListBullet"/>
      </w:pPr>
      <w:r>
        <w:t>Wilson, E. B. (1927). Probable inference, the law of succession, and statistical inference. Journal of the American Statistical Association, 22(158), 209–212.</w:t>
      </w:r>
    </w:p>
    <w:p>
      <w:pPr>
        <w:pStyle w:val="ListBullet"/>
      </w:pPr>
      <w:r>
        <w:t>Çengel, Y. A., &amp; Boles, M. A. Termodinámica. McGraw-Hill.</w:t>
      </w:r>
    </w:p>
    <w:p>
      <w:pPr>
        <w:pStyle w:val="ListBullet"/>
      </w:pPr>
      <w:r>
        <w:t>Çengel, Y. A., &amp; Ghajar, A. J. Transferencia de calor y masa. McGraw-Hill.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