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bidi w:val="0"/>
        <w:ind w:hanging="0" w:start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 nyelvtörténet forrásai: kézírásos és nyomtatott nyelvemlékek</w:t>
      </w:r>
    </w:p>
    <w:p>
      <w:pPr>
        <w:pStyle w:val="normal1"/>
        <w:numPr>
          <w:ilvl w:val="0"/>
          <w:numId w:val="1"/>
        </w:numPr>
        <w:ind w:hanging="360" w:start="720"/>
        <w:rPr>
          <w:b/>
          <w:bCs/>
        </w:rPr>
      </w:pPr>
      <w:r>
        <w:rPr>
          <w:b/>
          <w:bCs/>
        </w:rPr>
        <w:t>Előzmények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nyelvtörténet korszakai:</w:t>
      </w:r>
      <w:r>
        <w:rPr/>
        <w:t xml:space="preserve"> A magyar nyelv történetét történelmi mérföldkövek alapján korszakoljuk. Az </w:t>
      </w:r>
      <w:r>
        <w:rPr>
          <w:b/>
          <w:bCs/>
        </w:rPr>
        <w:t>ősmagyar kor</w:t>
      </w:r>
      <w:r>
        <w:rPr/>
        <w:t xml:space="preserve"> a honfoglalásig, az </w:t>
      </w:r>
      <w:r>
        <w:rPr>
          <w:b/>
          <w:bCs/>
        </w:rPr>
        <w:t>ómagyar kor</w:t>
      </w:r>
      <w:r>
        <w:rPr/>
        <w:t xml:space="preserve"> a honfoglalástól 1526-ig (a mohácsi vészig), a </w:t>
      </w:r>
      <w:r>
        <w:rPr>
          <w:b/>
          <w:bCs/>
        </w:rPr>
        <w:t>középmagyar kor</w:t>
      </w:r>
      <w:r>
        <w:rPr/>
        <w:t xml:space="preserve"> 1526-tól a felvilágosodás kezdetéig (1772), míg az </w:t>
      </w:r>
      <w:r>
        <w:rPr>
          <w:b/>
          <w:bCs/>
        </w:rPr>
        <w:t>újmagyar kor</w:t>
      </w:r>
      <w:r>
        <w:rPr/>
        <w:t xml:space="preserve"> 1772-től a trianoni békéig tartott (ezt követi a mai, újabb magyar kor).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korai írásbeliség körülményei:</w:t>
      </w:r>
      <w:r>
        <w:rPr/>
        <w:t xml:space="preserve"> Az ómagyar kor nagyrészt a középkorba esik, amikor a kultúrát az egyház uralta, a szövegek „szent nyelven”, latinul íródtak.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Az írásbeliség ekkor még nem volt általánosan elterjedt; elsősorban a </w:t>
      </w:r>
      <w:r>
        <w:rPr>
          <w:b/>
          <w:bCs/>
        </w:rPr>
        <w:t>kolostorokban összpontosult</w:t>
      </w:r>
      <w:r>
        <w:rPr/>
        <w:t>, ahol a (főként latinul olvasó) szerzetesek kézzel írtak és másoltak bőr kötéses, papír vagy pergamen alapú könyveket (kódexeket).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Kézírásos és nyomtatott nyelvemlékeink</w:t>
      </w:r>
    </w:p>
    <w:p>
      <w:pPr>
        <w:pStyle w:val="normal1"/>
        <w:ind w:hanging="0" w:start="720"/>
        <w:rPr/>
      </w:pPr>
      <w:r>
        <w:rPr/>
        <w:t>A fennmaradási forma alapján a nyelvemlékeket kéziratos, nyomtatott, illetve hangzó emlékekre oszthatjuk.</w:t>
      </w:r>
    </w:p>
    <w:p>
      <w:pPr>
        <w:pStyle w:val="normal1"/>
        <w:numPr>
          <w:ilvl w:val="0"/>
          <w:numId w:val="4"/>
        </w:numPr>
        <w:ind w:hanging="360" w:start="720"/>
        <w:rPr>
          <w:b/>
          <w:bCs/>
          <w:u w:val="none"/>
        </w:rPr>
      </w:pPr>
      <w:r>
        <w:rPr>
          <w:b/>
          <w:bCs/>
        </w:rPr>
        <w:t>Kézírásos nyelvemlékek (X. századtól):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Szórványemlékek:</w:t>
      </w:r>
      <w:r>
        <w:rPr/>
        <w:t xml:space="preserve"> Idegen nyelvű szövegekben szórványosan elhelyezkedő magyar szavak (főként személy- és földrajzi nevek). Kiemelkedő példája </w:t>
      </w:r>
      <w:r>
        <w:rPr>
          <w:i/>
          <w:iCs/>
        </w:rPr>
        <w:t>A tihanyi apátság alapítólevele</w:t>
      </w:r>
      <w:r>
        <w:rPr/>
        <w:t xml:space="preserve"> (1055).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Korai szövegemlékek:</w:t>
      </w:r>
      <w:r>
        <w:rPr/>
        <w:t xml:space="preserve"> Összefüggő magyar szövegek, melyek gyakran latin nyelvű anyakódexekben maradtak fenn. Ide tartozik a legkorábbi ránk maradt szónoki szövegünk, az 1190-es években keletkezett, a Pray-kódexben őrzött </w:t>
      </w:r>
      <w:r>
        <w:rPr>
          <w:i/>
          <w:iCs/>
        </w:rPr>
        <w:t>Halotti beszéd és könyörgés</w:t>
      </w:r>
      <w:r>
        <w:rPr/>
        <w:t xml:space="preserve">, valamint az 1300 körül másolt </w:t>
      </w:r>
      <w:r>
        <w:rPr>
          <w:i/>
          <w:iCs/>
        </w:rPr>
        <w:t>Ómagyar Mária-siralom</w:t>
      </w:r>
      <w:r>
        <w:rPr/>
        <w:t>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Kódexek:</w:t>
      </w:r>
      <w:r>
        <w:rPr/>
        <w:t xml:space="preserve"> Magyar nyelvű, egyházi tematikájú, kéziratos könyvek, melyekből mintegy 40 példány maradt fenn. Említésre méltó az első, a </w:t>
      </w:r>
      <w:r>
        <w:rPr>
          <w:i/>
          <w:iCs/>
        </w:rPr>
        <w:t>Jókai-kódex</w:t>
      </w:r>
      <w:r>
        <w:rPr/>
        <w:t xml:space="preserve"> (1448 k.), illetve a Huszita Biblia könyveit őrző Bécsi, Müncheni és Apor-kódex.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Világi emlékek és misszilisek:</w:t>
      </w:r>
      <w:r>
        <w:rPr/>
        <w:t xml:space="preserve"> A kései ómagyar és középmagyar korban megjelentek a világi szövegek (pl. esküszövegek, orvosi rendelvények) és a </w:t>
      </w:r>
      <w:r>
        <w:rPr>
          <w:b/>
          <w:bCs/>
        </w:rPr>
        <w:t>misszilisek</w:t>
      </w:r>
      <w:r>
        <w:rPr/>
        <w:t xml:space="preserve"> (magánlevelezések céljából írott levelek), amelyek a hétköznapi, beszélt nyelvhasználatot tükrözik.</w:t>
      </w:r>
    </w:p>
    <w:p>
      <w:pPr>
        <w:pStyle w:val="normal1"/>
        <w:numPr>
          <w:ilvl w:val="0"/>
          <w:numId w:val="4"/>
        </w:numPr>
        <w:ind w:hanging="360" w:start="720"/>
        <w:rPr>
          <w:b/>
          <w:bCs/>
        </w:rPr>
      </w:pPr>
      <w:r>
        <w:rPr>
          <w:b/>
          <w:bCs/>
        </w:rPr>
        <w:t>Nyomtatott nyelvemlékek (XVI. századtól):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A könyvnyomtatás megjelenésével a szövegek szélesebb körben válhattak elérhetővé. Az első magyar szöveget is tartalmazó nyomtatványok külföldön (Krakkó, Bécs) jelentek meg, majd Sárváron megalakult az első magyar nyomda.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 xml:space="preserve">Korszakalkotó nyomtatott nyelvemlék a Károli Gáspár által fordított 1590-es </w:t>
      </w:r>
      <w:r>
        <w:rPr>
          <w:b/>
          <w:bCs/>
        </w:rPr>
        <w:t>Vizsolyi Biblia</w:t>
      </w:r>
      <w:r>
        <w:rPr/>
        <w:t>, amely a magyar irodalmi nyelv és köznyelv kialakulását a legerősebben befolyásolta.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Az utókor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Irodalmi inspiráció:</w:t>
      </w:r>
      <w:r>
        <w:rPr/>
        <w:t xml:space="preserve"> A nyelvemlékek a későbbi korok íróit, költőit is megihlették. A </w:t>
      </w:r>
      <w:r>
        <w:rPr>
          <w:i/>
          <w:iCs/>
        </w:rPr>
        <w:t>Halotti beszéd</w:t>
      </w:r>
      <w:r>
        <w:rPr/>
        <w:t xml:space="preserve"> jelentős hatást gyakorolt a magyar irodalomra, többek között Kosztolányi Dezső és Márai Sándor is írt azonos című verset a mű nyomán.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Vizsolyi Biblia utóélete:</w:t>
      </w:r>
      <w:r>
        <w:rPr/>
        <w:t xml:space="preserve"> Károli Gáspár fordítása évszázadokon át a legolvasottabb magyar könyv maradt, amely meghatározta a nyelvi normát és irodalmunk alapjait. Még a 20. században is olyan alkotások ihlető forrása volt, mint Babits Mihály </w:t>
      </w:r>
      <w:r>
        <w:rPr>
          <w:i/>
          <w:iCs/>
        </w:rPr>
        <w:t>Jónás könyve</w:t>
      </w:r>
      <w:r>
        <w:rPr/>
        <w:t xml:space="preserve"> és </w:t>
      </w:r>
      <w:r>
        <w:rPr>
          <w:i/>
          <w:iCs/>
        </w:rPr>
        <w:t>Jónás imája</w:t>
      </w:r>
      <w:r>
        <w:rPr/>
        <w:t>, aki tudatosan visszanyúlt a Károli-biblia nyelvezetéhez.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Kutatástörténeti érték:</w:t>
      </w:r>
      <w:r>
        <w:rPr/>
        <w:t xml:space="preserve"> Az utókor nyelvészei és történészei számára a fennmaradt szövegek – különösen a mindennapi élethez közel álló, 16–18. századi magánlevelek (misszilisek) – pótolhatatlan forrást jelentenek. Ezeken keresztül vizsgálható a korabeli társadalmi viszonyok rendszere, az udvariassági formulák (például a tegezés-magázás) és a magyar nyelv középmagyar kori állapota.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450</Words>
  <Characters>2937</Characters>
  <CharactersWithSpaces>3352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2026-06-17T17:18:05Z</dcterms:modified>
  <cp:revision>2</cp:revision>
  <dc:subject/>
  <dc:title/>
</cp:coreProperties>
</file>