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 középkori város és a céhes ipar</w:t>
      </w:r>
    </w:p>
    <w:p>
      <w:pPr>
        <w:pStyle w:val="normal1"/>
        <w:rPr>
          <w:b/>
          <w:bCs/>
        </w:rPr>
      </w:pPr>
      <w:r>
        <w:rPr>
          <w:b/>
          <w:bCs/>
        </w:rPr>
        <w:t>1. A városok létrejöttének okai, összetevői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Kialakulásuk fő okai:</w:t>
      </w:r>
      <w:r>
        <w:rPr/>
        <w:t xml:space="preserve"> A városiasodás folyamatát a népesség növekedése indította el. Nyugat-Európában ez a folyamat a 11-12. században kezdődött.</w:t>
      </w:r>
    </w:p>
    <w:p>
      <w:pPr>
        <w:pStyle w:val="normal1"/>
        <w:numPr>
          <w:ilvl w:val="0"/>
          <w:numId w:val="3"/>
        </w:numPr>
        <w:ind w:hanging="360" w:start="720"/>
        <w:rPr>
          <w:b/>
          <w:bCs/>
        </w:rPr>
      </w:pPr>
      <w:r>
        <w:rPr>
          <w:b/>
          <w:bCs/>
        </w:rPr>
        <w:t>Földrajzi és gazdasági összetevők (településképző tényezők):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Távolsági kereskedelmi útvonalak és vásárvonalak mentén jöttek létre (pl. Augsburg, Frankfurt).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Földrajzi tájak, például az alföld és a hegyvidék találkozásánál (pl. Buda, Eger).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Kikötőknél, folyók átkelőhelyeinél (pl. Szeged) és folyótorkolatoknál.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Nyersanyaglelőhelyek és bányák közelében (pl. Körmöcbánya, Selmecbánya).</w:t>
      </w:r>
    </w:p>
    <w:p>
      <w:pPr>
        <w:pStyle w:val="normal1"/>
        <w:numPr>
          <w:ilvl w:val="0"/>
          <w:numId w:val="3"/>
        </w:numPr>
        <w:ind w:hanging="360" w:start="720"/>
        <w:rPr>
          <w:b/>
          <w:bCs/>
        </w:rPr>
      </w:pPr>
      <w:r>
        <w:rPr>
          <w:b/>
          <w:bCs/>
        </w:rPr>
        <w:t>Hatalmi és igazgatási központok vonzása: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Egyházi központok, érseki és püspöki székhelyek mellett (pl. Esztergom, Pécs, Köln).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Uralkodói vagy földesúri erődítmények, várak védelmében (pl. Carcassonne).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Sok középkori város az egykori Római Birodalom városainak helyén, azok romjain alakult ki.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2. A város külső képe, szerkezete, jellegzetes épületei, regionális eltérései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Külső kép és szerkezet:</w:t>
      </w:r>
      <w:r>
        <w:rPr/>
        <w:t xml:space="preserve"> A középkori városok szerkezete centrikus volt, a település magját a középen elhelyezkedő katedrális vagy erődítmény adta. A várost védelmi funkciót ellátó városfalak vették körbe, amelyeken városkapukon keresztül lehetett bejutni. A falakat sok esetben a helyi céhek védték, róluk nevezték el a bástyákat és tornyokat (pl. Segesváron a Szabó-torony vagy Csizmadia-torony).</w:t>
      </w:r>
    </w:p>
    <w:p>
      <w:pPr>
        <w:pStyle w:val="normal1"/>
        <w:numPr>
          <w:ilvl w:val="0"/>
          <w:numId w:val="4"/>
        </w:numPr>
        <w:ind w:hanging="360" w:start="720"/>
        <w:rPr>
          <w:b/>
          <w:bCs/>
        </w:rPr>
      </w:pPr>
      <w:r>
        <w:rPr>
          <w:b/>
          <w:bCs/>
        </w:rPr>
        <w:t>Jellegzetes épületek és terek: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A település központjában, többnyire a templom előtt helyezkedett el a piactér.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A főutcán kaptak helyet a fogadók és a céhek műhelyei, házai.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Jellegzetes intézmény volt a városháza, a tisztaságot és társasági életet szolgáló fürdőház, valamint a betegeket és szegényeket ellátó ispotály (kórház).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Regionális eltérések:</w:t>
      </w:r>
      <w:r>
        <w:rPr/>
        <w:t xml:space="preserve"> Jól megkülönböztethető a római korból örökölt, mérnöki pontosságú, szabályos sakktábla-szerkezet (pl. Timgad) és a középkori, organikusan fejlődő, kanyargós utcákkal rendelkező városszerkezet (pl. Locorotondo).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3. A lakosság társadalmi és jogi helyzete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Jogi helyzet ("A városi levegő szabaddá tesz"):</w:t>
      </w:r>
      <w:r>
        <w:rPr/>
        <w:t xml:space="preserve"> A középkori város lakói nem álltak földesúri joghatóság alatt, személyükben szabadok voltak és közvetlenül a király (vagy a városi tanács) alá tartoztak. Ha egy szolga egy évet és egy napot háborítatlanul eltöltött a városban, a korábbi ura már nem követelhette vissza.</w:t>
      </w:r>
    </w:p>
    <w:p>
      <w:pPr>
        <w:pStyle w:val="normal1"/>
        <w:numPr>
          <w:ilvl w:val="0"/>
          <w:numId w:val="2"/>
        </w:numPr>
        <w:ind w:hanging="360" w:start="720"/>
        <w:rPr>
          <w:b/>
          <w:bCs/>
        </w:rPr>
      </w:pPr>
      <w:r>
        <w:rPr>
          <w:b/>
          <w:bCs/>
        </w:rPr>
        <w:t>Városi kiváltságok ("szabadságok"):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Jogi autonómia:</w:t>
      </w:r>
      <w:r>
        <w:rPr/>
        <w:t xml:space="preserve"> Szabadon választhattak bírót (polgármestert) és saját tanácsot, saját jogrendjük szerint éltek.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Gazdasági:</w:t>
      </w:r>
      <w:r>
        <w:rPr/>
        <w:t xml:space="preserve"> Egyösszegű adózás, vásártartási jog és árumegállító jog.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Egyházi:</w:t>
      </w:r>
      <w:r>
        <w:rPr/>
        <w:t xml:space="preserve"> Szabad plébánosválasztás.</w:t>
      </w:r>
    </w:p>
    <w:p>
      <w:pPr>
        <w:pStyle w:val="normal1"/>
        <w:numPr>
          <w:ilvl w:val="0"/>
          <w:numId w:val="2"/>
        </w:numPr>
        <w:ind w:hanging="360" w:start="720"/>
        <w:rPr>
          <w:b/>
          <w:bCs/>
        </w:rPr>
      </w:pPr>
      <w:r>
        <w:rPr>
          <w:b/>
          <w:bCs/>
        </w:rPr>
        <w:t>Társadalmi rétegződés: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Patríciusok:</w:t>
      </w:r>
      <w:r>
        <w:rPr/>
        <w:t xml:space="preserve"> A város vezető rétege, nagykereskedők, pénzemberek, akik nagy értékű ingatlanokkal és kiterjedt társadalmi kapcsolatokkal rendelkeztek.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Plebejusok:</w:t>
      </w:r>
      <w:r>
        <w:rPr/>
        <w:t xml:space="preserve"> A polgárok többségét alkotó szegényebb, kistulajdonos réteg, akik bár polgárjoggal rendelkeztek, a város irányítására nem volt nagy ráhatásuk.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Betelepülők:</w:t>
      </w:r>
      <w:r>
        <w:rPr/>
        <w:t xml:space="preserve"> Polgárjoggal nem rendelkező, a társadalom peremén élő csoportok.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4. Fontos évszámok, személyek, fogalmak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Évszámok: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11-12. század:</w:t>
      </w:r>
      <w:r>
        <w:rPr/>
        <w:t xml:space="preserve"> A középkori városok kialakulásának kezdete Nyugat-Európában.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1161:</w:t>
      </w:r>
      <w:r>
        <w:rPr/>
        <w:t xml:space="preserve"> A Hanza-szövetség alapítása.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1346:</w:t>
      </w:r>
      <w:r>
        <w:rPr/>
        <w:t xml:space="preserve"> A hazai céhrendszer első tárgyi emléke (Ábel festőmester sírköve).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14. század:</w:t>
      </w:r>
      <w:r>
        <w:rPr/>
        <w:t xml:space="preserve"> A nagy pestisjárvány pusztítása, amely Európa népességének 40%-át elvitte.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1872:</w:t>
      </w:r>
      <w:r>
        <w:rPr/>
        <w:t xml:space="preserve"> Az elavulttá vált céhrendszer felszámolása Magyarországon (az 1872. évi VIII. törvénycikkel).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Személyek: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Szent Ágoston:</w:t>
      </w:r>
      <w:r>
        <w:rPr/>
        <w:t xml:space="preserve"> Keresztény gondolkodó, aki szerint "Nem a falak, hanem a mentalitás, lakóinak gondolkodásmódja tesz várossá egy közösséget."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Nogent-i Guibert:</w:t>
      </w:r>
      <w:r>
        <w:rPr/>
        <w:t xml:space="preserve"> Francia bencés történetíró, aki a városok szabadságát és a földesúri kötelezettségek alóli mentesülését írta le.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Szűcs Jenő és Lederer Emma:</w:t>
      </w:r>
      <w:r>
        <w:rPr/>
        <w:t xml:space="preserve"> A középkori magyar városok és a bártfai vászonipar neves hazai történetírói.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Fogalmak: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Város:</w:t>
      </w:r>
      <w:r>
        <w:rPr/>
        <w:t xml:space="preserve"> Kereskedők és kézművesek autonóm, önálló jogrenddel és mentalitással bíró közössége.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Céh:</w:t>
      </w:r>
      <w:r>
        <w:rPr/>
        <w:t xml:space="preserve"> Azonos mesterséget űző iparosok érdekvédelmi szervezete, amely szabályozta a minőséget, az árakat és korlátozta a versenyt.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Kontár:</w:t>
      </w:r>
      <w:r>
        <w:rPr/>
        <w:t xml:space="preserve"> Céhen kívüli iparűző, akit a céhek üldöztek és gyakran el is űztek a városból.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Mester, legény, inas:</w:t>
      </w:r>
      <w:r>
        <w:rPr/>
        <w:t xml:space="preserve"> A céhes hierarchia fokozatai. A mester a műhely tulajdonosa, a legény a már kiképzett, vándorútra induló szakember (vándorlegény), az inas pedig az apródéveit töltő tanuló.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Árumegállító jog (lerakat joga):</w:t>
      </w:r>
      <w:r>
        <w:rPr/>
        <w:t xml:space="preserve"> Kiváltság, amely feljogosította a várost, hogy az áthaladó kereskedőket megállásra és árujuk árusítására kötelezze.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Levantei és Hanza kereskedelem:</w:t>
      </w:r>
      <w:r>
        <w:rPr/>
        <w:t xml:space="preserve"> A középkor fő távolsági kereskedelmi útvonalai; előbbi a Földközi-tengeren keleti luxuscikkeket, utóbbi az Északi- és Balti-tengeren nyugati iparcikkeket és keleti nyersanyagokat szállított.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LibreOffice/26.2.4.2$Windows_X86_64 LibreOffice_project/0229ac93fcf0d7cbc6376066c6f35021cef002dc</Application>
  <AppVersion>15.0000</AppVersion>
  <Pages>2</Pages>
  <Words>633</Words>
  <Characters>4088</Characters>
  <CharactersWithSpaces>4635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2026-06-17T20:06:08Z</dcterms:modified>
  <cp:revision>1</cp:revision>
  <dc:subject/>
  <dc:title/>
</cp:coreProperties>
</file>