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F2A13" w14:textId="02FD5727" w:rsidR="006C7A8E" w:rsidRDefault="0000548C" w:rsidP="0000548C">
      <w:pPr>
        <w:spacing w:before="210" w:after="0" w:line="360" w:lineRule="auto"/>
      </w:pPr>
      <w:bookmarkStart w:id="0" w:name="nem_nyelvi_kifejezőeszközök_fogalma"/>
      <w:r>
        <w:rPr>
          <w:rFonts w:ascii="inter" w:eastAsia="inter" w:hAnsi="inter" w:cs="inter"/>
          <w:b/>
          <w:color w:val="000000"/>
          <w:sz w:val="24"/>
        </w:rPr>
        <w:t>Nem nyelvi kifejezőeszközök fogalma</w:t>
      </w:r>
      <w:bookmarkEnd w:id="0"/>
    </w:p>
    <w:p w14:paraId="698DE4DB" w14:textId="755A4C7D" w:rsidR="006C7A8E" w:rsidRDefault="0000548C">
      <w:pPr>
        <w:spacing w:after="210" w:line="360" w:lineRule="auto"/>
      </w:pPr>
      <w:r>
        <w:rPr>
          <w:rFonts w:ascii="inter" w:eastAsia="inter" w:hAnsi="inter" w:cs="inter"/>
          <w:color w:val="000000"/>
        </w:rPr>
        <w:t xml:space="preserve">A </w:t>
      </w:r>
      <w:r>
        <w:rPr>
          <w:rFonts w:ascii="inter" w:eastAsia="inter" w:hAnsi="inter" w:cs="inter"/>
          <w:b/>
          <w:color w:val="000000"/>
        </w:rPr>
        <w:t>nem nyelvi kifejezőeszközök</w:t>
      </w:r>
      <w:r>
        <w:rPr>
          <w:rFonts w:ascii="inter" w:eastAsia="inter" w:hAnsi="inter" w:cs="inter"/>
          <w:color w:val="000000"/>
        </w:rPr>
        <w:t xml:space="preserve"> olyan információhordozó elemek, amelyeket az emberek a beszélt vagy írott nyelv mellett alkalmaznak a kommunikációban. Ezek segítenek pontosítani az üzenetet, árnyalják a mondanivalót, vagy érzelmeket, szándékokat fejeznek ki.</w:t>
      </w:r>
      <w:bookmarkStart w:id="1" w:name="fnref1_1"/>
      <w:bookmarkEnd w:id="1"/>
      <w:r>
        <w:t xml:space="preserve"> </w:t>
      </w:r>
    </w:p>
    <w:p w14:paraId="03918A1E" w14:textId="77777777" w:rsidR="006C7A8E" w:rsidRDefault="00AA663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27CE6A7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16C4B3D" w14:textId="77777777" w:rsidR="006C7A8E" w:rsidRDefault="0000548C">
      <w:pPr>
        <w:spacing w:before="315" w:after="105" w:line="360" w:lineRule="auto"/>
        <w:ind w:left="-30"/>
      </w:pPr>
      <w:bookmarkStart w:id="2" w:name="legfontosabb_nem_nyelvi_eszközök"/>
      <w:r>
        <w:rPr>
          <w:rFonts w:ascii="inter" w:eastAsia="inter" w:hAnsi="inter" w:cs="inter"/>
          <w:b/>
          <w:color w:val="000000"/>
          <w:sz w:val="24"/>
        </w:rPr>
        <w:t>Legfontosabb nem nyelvi eszközök</w:t>
      </w:r>
      <w:bookmarkEnd w:id="2"/>
    </w:p>
    <w:p w14:paraId="328F0853" w14:textId="77777777" w:rsidR="006C7A8E" w:rsidRDefault="0000548C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Testbeszéd (gesztusok, mimika)</w:t>
      </w:r>
      <w:r>
        <w:rPr>
          <w:rFonts w:ascii="inter" w:eastAsia="inter" w:hAnsi="inter" w:cs="inter"/>
          <w:color w:val="000000"/>
        </w:rPr>
        <w:t>: A kézmozdulatok, arckifejezések, testtartás jelentős szerepet játszanak az érzelmek, szándékok, attitűdök kifejezésében.</w:t>
      </w:r>
    </w:p>
    <w:p w14:paraId="343F3597" w14:textId="77777777" w:rsidR="006C7A8E" w:rsidRDefault="0000548C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Tekintet</w:t>
      </w:r>
      <w:r>
        <w:rPr>
          <w:rFonts w:ascii="inter" w:eastAsia="inter" w:hAnsi="inter" w:cs="inter"/>
          <w:color w:val="000000"/>
        </w:rPr>
        <w:t>: A szemkontaktus fenntartása vagy kerülése sokat elárulhat az üzenet mögötti szándékról, társas kapcsolatról.</w:t>
      </w:r>
    </w:p>
    <w:p w14:paraId="77F7B43C" w14:textId="77777777" w:rsidR="006C7A8E" w:rsidRDefault="0000548C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Távolságtartás (</w:t>
      </w:r>
      <w:proofErr w:type="spellStart"/>
      <w:r>
        <w:rPr>
          <w:rFonts w:ascii="inter" w:eastAsia="inter" w:hAnsi="inter" w:cs="inter"/>
          <w:b/>
          <w:color w:val="000000"/>
        </w:rPr>
        <w:t>proxemika</w:t>
      </w:r>
      <w:proofErr w:type="spellEnd"/>
      <w:r>
        <w:rPr>
          <w:rFonts w:ascii="inter" w:eastAsia="inter" w:hAnsi="inter" w:cs="inter"/>
          <w:b/>
          <w:color w:val="000000"/>
        </w:rPr>
        <w:t>)</w:t>
      </w:r>
      <w:r>
        <w:rPr>
          <w:rFonts w:ascii="inter" w:eastAsia="inter" w:hAnsi="inter" w:cs="inter"/>
          <w:color w:val="000000"/>
        </w:rPr>
        <w:t>: Az emberek közötti távolság (intim, személyes, társas, nyilvános) befolyásolja a kommunikáció stílusát és tartalmát.</w:t>
      </w:r>
    </w:p>
    <w:p w14:paraId="74CA6A33" w14:textId="77777777" w:rsidR="006C7A8E" w:rsidRDefault="0000548C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Testtartás</w:t>
      </w:r>
      <w:r>
        <w:rPr>
          <w:rFonts w:ascii="inter" w:eastAsia="inter" w:hAnsi="inter" w:cs="inter"/>
          <w:color w:val="000000"/>
        </w:rPr>
        <w:t>: A magabiztos vagy zárt testtartás az üzenet hatását befolyásolja.</w:t>
      </w:r>
    </w:p>
    <w:p w14:paraId="14592DA0" w14:textId="77777777" w:rsidR="006C7A8E" w:rsidRDefault="0000548C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Hangszín, hangerő, hanglejtés (</w:t>
      </w:r>
      <w:proofErr w:type="spellStart"/>
      <w:r>
        <w:rPr>
          <w:rFonts w:ascii="inter" w:eastAsia="inter" w:hAnsi="inter" w:cs="inter"/>
          <w:b/>
          <w:color w:val="000000"/>
        </w:rPr>
        <w:t>paralingvisztika</w:t>
      </w:r>
      <w:proofErr w:type="spellEnd"/>
      <w:r>
        <w:rPr>
          <w:rFonts w:ascii="inter" w:eastAsia="inter" w:hAnsi="inter" w:cs="inter"/>
          <w:b/>
          <w:color w:val="000000"/>
        </w:rPr>
        <w:t>)</w:t>
      </w:r>
      <w:r>
        <w:rPr>
          <w:rFonts w:ascii="inter" w:eastAsia="inter" w:hAnsi="inter" w:cs="inter"/>
          <w:color w:val="000000"/>
        </w:rPr>
        <w:t>: A kimondott szöveg értelmét, érzelmi töltését jelentősen árnyalja a beszéd dallama, tempója, sebessége, szünetei.</w:t>
      </w:r>
    </w:p>
    <w:p w14:paraId="3C3819C8" w14:textId="77777777" w:rsidR="006C7A8E" w:rsidRDefault="00AA663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B1E019C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F41F282" w14:textId="77777777" w:rsidR="006C7A8E" w:rsidRDefault="0000548C">
      <w:pPr>
        <w:spacing w:before="315" w:after="105" w:line="360" w:lineRule="auto"/>
        <w:ind w:left="-30"/>
      </w:pPr>
      <w:bookmarkStart w:id="3" w:name="jelentőségük_a_kommunikációban"/>
      <w:r>
        <w:rPr>
          <w:rFonts w:ascii="inter" w:eastAsia="inter" w:hAnsi="inter" w:cs="inter"/>
          <w:b/>
          <w:color w:val="000000"/>
          <w:sz w:val="24"/>
        </w:rPr>
        <w:t>Jelentőségük a kommunikációban</w:t>
      </w:r>
      <w:bookmarkEnd w:id="3"/>
    </w:p>
    <w:p w14:paraId="300151CD" w14:textId="2D2FC4E5" w:rsidR="006C7A8E" w:rsidRDefault="0000548C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nem nyelvi eszközök nélkül a kommunikáció gyakran félreérthető vagy hiányos lenne. Ezek segítenek a hiteles, őszinte önkifejezésben, a kapcsolatépítésben, a társadalmi határok kijelölésében, valamint az üzenet egyes elemeinek kiemelésében vagy hangsúlyozásában.</w:t>
      </w:r>
      <w:bookmarkStart w:id="4" w:name="fnref1_2"/>
      <w:bookmarkEnd w:id="4"/>
      <w:r>
        <w:t xml:space="preserve"> </w:t>
      </w:r>
    </w:p>
    <w:p w14:paraId="3DABE084" w14:textId="77777777" w:rsidR="006C7A8E" w:rsidRDefault="00AA663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01F3162C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5D106E4" w14:textId="77777777" w:rsidR="006C7A8E" w:rsidRDefault="0000548C">
      <w:pPr>
        <w:spacing w:before="315" w:after="105" w:line="360" w:lineRule="auto"/>
        <w:ind w:left="-30"/>
      </w:pPr>
      <w:bookmarkStart w:id="5" w:name="gyakorlati_példák"/>
      <w:r>
        <w:rPr>
          <w:rFonts w:ascii="inter" w:eastAsia="inter" w:hAnsi="inter" w:cs="inter"/>
          <w:b/>
          <w:color w:val="000000"/>
          <w:sz w:val="24"/>
        </w:rPr>
        <w:t>Gyakorlati példák</w:t>
      </w:r>
      <w:bookmarkEnd w:id="5"/>
    </w:p>
    <w:p w14:paraId="3F0211A0" w14:textId="77777777" w:rsidR="006C7A8E" w:rsidRDefault="0000548C">
      <w:pPr>
        <w:spacing w:after="210" w:line="360" w:lineRule="auto"/>
      </w:pPr>
      <w:r>
        <w:rPr>
          <w:rFonts w:ascii="inter" w:eastAsia="inter" w:hAnsi="inter" w:cs="inter"/>
          <w:color w:val="000000"/>
        </w:rPr>
        <w:t>Egy barátságos mosoly, határozott kézfogás vagy elismerő bólintás többet mondhat néha, mint egy kimondott szó. A túl szoros szemkontaktus ijesztő is lehet; a túl nagy távolság pedig távolságtartást, bizonytalanságot jelezhet. A tekintet, gesztusok, testtartás, hangszín mind-mind a szóbeli kommunikáció értelmezéséhez elengedhetetlen eszközök.</w:t>
      </w:r>
    </w:p>
    <w:p w14:paraId="4D6AF4D3" w14:textId="77777777" w:rsidR="006C7A8E" w:rsidRDefault="00AA663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5B9586D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B3F2A5B" w14:textId="77777777" w:rsidR="006C7A8E" w:rsidRDefault="0000548C">
      <w:pPr>
        <w:spacing w:before="315" w:after="105" w:line="360" w:lineRule="auto"/>
        <w:ind w:left="-30"/>
      </w:pPr>
      <w:bookmarkStart w:id="6" w:name="összegzés"/>
      <w:r>
        <w:rPr>
          <w:rFonts w:ascii="inter" w:eastAsia="inter" w:hAnsi="inter" w:cs="inter"/>
          <w:b/>
          <w:color w:val="000000"/>
          <w:sz w:val="24"/>
        </w:rPr>
        <w:lastRenderedPageBreak/>
        <w:t>Összegzés</w:t>
      </w:r>
      <w:bookmarkEnd w:id="6"/>
    </w:p>
    <w:p w14:paraId="2C4CE6D5" w14:textId="1AC3BD67" w:rsidR="006C7A8E" w:rsidRDefault="0000548C" w:rsidP="0000548C">
      <w:pPr>
        <w:spacing w:after="210" w:line="360" w:lineRule="auto"/>
      </w:pPr>
      <w:r>
        <w:rPr>
          <w:rFonts w:ascii="inter" w:eastAsia="inter" w:hAnsi="inter" w:cs="inter"/>
          <w:color w:val="000000"/>
        </w:rPr>
        <w:t>A kommunikációban a nem nyelvi kifejezőeszközök döntő szerepet játszanak: kiegészítik, erősítik, olykor módosítják a nyelvi üzenetet. Érdemes ezekre figyelni mind befogadóként, mind küldőként, mert segítik a pontos és hiteles interakciókat.</w:t>
      </w:r>
      <w:bookmarkStart w:id="7" w:name="fnref1_3"/>
      <w:bookmarkEnd w:id="7"/>
      <w:r>
        <w:rPr>
          <w:rFonts w:ascii="inter" w:eastAsia="inter" w:hAnsi="inter" w:cs="inter"/>
          <w:color w:val="000000"/>
          <w:sz w:val="18"/>
        </w:rPr>
        <w:t xml:space="preserve"> </w:t>
      </w:r>
    </w:p>
    <w:sectPr w:rsidR="006C7A8E">
      <w:pgSz w:w="12240" w:h="15840"/>
      <w:pgMar w:top="1365" w:right="1365" w:bottom="1365" w:left="1365" w:header="720" w:footer="72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377FE7"/>
    <w:multiLevelType w:val="hybridMultilevel"/>
    <w:tmpl w:val="3718F85A"/>
    <w:lvl w:ilvl="0" w:tplc="225A3B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1523D60">
      <w:numFmt w:val="decimal"/>
      <w:lvlText w:val=""/>
      <w:lvlJc w:val="left"/>
    </w:lvl>
    <w:lvl w:ilvl="2" w:tplc="0E9E0D4E">
      <w:numFmt w:val="decimal"/>
      <w:lvlText w:val=""/>
      <w:lvlJc w:val="left"/>
    </w:lvl>
    <w:lvl w:ilvl="3" w:tplc="EE5017AA">
      <w:numFmt w:val="decimal"/>
      <w:lvlText w:val=""/>
      <w:lvlJc w:val="left"/>
    </w:lvl>
    <w:lvl w:ilvl="4" w:tplc="12CA3BB8">
      <w:numFmt w:val="decimal"/>
      <w:lvlText w:val=""/>
      <w:lvlJc w:val="left"/>
    </w:lvl>
    <w:lvl w:ilvl="5" w:tplc="720E1E8A">
      <w:numFmt w:val="decimal"/>
      <w:lvlText w:val=""/>
      <w:lvlJc w:val="left"/>
    </w:lvl>
    <w:lvl w:ilvl="6" w:tplc="E75C4A10">
      <w:numFmt w:val="decimal"/>
      <w:lvlText w:val=""/>
      <w:lvlJc w:val="left"/>
    </w:lvl>
    <w:lvl w:ilvl="7" w:tplc="B3D8149E">
      <w:numFmt w:val="decimal"/>
      <w:lvlText w:val=""/>
      <w:lvlJc w:val="left"/>
    </w:lvl>
    <w:lvl w:ilvl="8" w:tplc="68421884">
      <w:numFmt w:val="decimal"/>
      <w:lvlText w:val=""/>
      <w:lvlJc w:val="left"/>
    </w:lvl>
  </w:abstractNum>
  <w:abstractNum w:abstractNumId="1" w15:restartNumberingAfterBreak="0">
    <w:nsid w:val="488B4370"/>
    <w:multiLevelType w:val="hybridMultilevel"/>
    <w:tmpl w:val="E94EDFBA"/>
    <w:lvl w:ilvl="0" w:tplc="9430875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B60A2BE4">
      <w:numFmt w:val="decimal"/>
      <w:lvlText w:val=""/>
      <w:lvlJc w:val="left"/>
    </w:lvl>
    <w:lvl w:ilvl="2" w:tplc="52FAB928">
      <w:numFmt w:val="decimal"/>
      <w:lvlText w:val=""/>
      <w:lvlJc w:val="left"/>
    </w:lvl>
    <w:lvl w:ilvl="3" w:tplc="E98EA8B2">
      <w:numFmt w:val="decimal"/>
      <w:lvlText w:val=""/>
      <w:lvlJc w:val="left"/>
    </w:lvl>
    <w:lvl w:ilvl="4" w:tplc="264A69BA">
      <w:numFmt w:val="decimal"/>
      <w:lvlText w:val=""/>
      <w:lvlJc w:val="left"/>
    </w:lvl>
    <w:lvl w:ilvl="5" w:tplc="72EAF75C">
      <w:numFmt w:val="decimal"/>
      <w:lvlText w:val=""/>
      <w:lvlJc w:val="left"/>
    </w:lvl>
    <w:lvl w:ilvl="6" w:tplc="34ACFAAC">
      <w:numFmt w:val="decimal"/>
      <w:lvlText w:val=""/>
      <w:lvlJc w:val="left"/>
    </w:lvl>
    <w:lvl w:ilvl="7" w:tplc="5BB46BC0">
      <w:numFmt w:val="decimal"/>
      <w:lvlText w:val=""/>
      <w:lvlJc w:val="left"/>
    </w:lvl>
    <w:lvl w:ilvl="8" w:tplc="197ABACA">
      <w:numFmt w:val="decimal"/>
      <w:lvlText w:val=""/>
      <w:lvlJc w:val="left"/>
    </w:lvl>
  </w:abstractNum>
  <w:abstractNum w:abstractNumId="2" w15:restartNumberingAfterBreak="0">
    <w:nsid w:val="7C21497D"/>
    <w:multiLevelType w:val="hybridMultilevel"/>
    <w:tmpl w:val="1E64366C"/>
    <w:lvl w:ilvl="0" w:tplc="1EA897EE">
      <w:numFmt w:val="decimal"/>
      <w:lvlText w:val=""/>
      <w:lvlJc w:val="left"/>
    </w:lvl>
    <w:lvl w:ilvl="1" w:tplc="1E1C91F2">
      <w:numFmt w:val="decimal"/>
      <w:lvlText w:val=""/>
      <w:lvlJc w:val="left"/>
    </w:lvl>
    <w:lvl w:ilvl="2" w:tplc="914EF546">
      <w:numFmt w:val="decimal"/>
      <w:lvlText w:val=""/>
      <w:lvlJc w:val="left"/>
    </w:lvl>
    <w:lvl w:ilvl="3" w:tplc="00EA7774">
      <w:numFmt w:val="decimal"/>
      <w:lvlText w:val=""/>
      <w:lvlJc w:val="left"/>
    </w:lvl>
    <w:lvl w:ilvl="4" w:tplc="1D9C44AA">
      <w:numFmt w:val="decimal"/>
      <w:lvlText w:val=""/>
      <w:lvlJc w:val="left"/>
    </w:lvl>
    <w:lvl w:ilvl="5" w:tplc="99D039BA">
      <w:numFmt w:val="decimal"/>
      <w:lvlText w:val=""/>
      <w:lvlJc w:val="left"/>
    </w:lvl>
    <w:lvl w:ilvl="6" w:tplc="2166D002">
      <w:numFmt w:val="decimal"/>
      <w:lvlText w:val=""/>
      <w:lvlJc w:val="left"/>
    </w:lvl>
    <w:lvl w:ilvl="7" w:tplc="5BE60852">
      <w:numFmt w:val="decimal"/>
      <w:lvlText w:val=""/>
      <w:lvlJc w:val="left"/>
    </w:lvl>
    <w:lvl w:ilvl="8" w:tplc="AEF6C614">
      <w:numFmt w:val="decimal"/>
      <w:lvlText w:val=""/>
      <w:lvlJc w:val="left"/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A8E"/>
    <w:rsid w:val="0000548C"/>
    <w:rsid w:val="006C7A8E"/>
    <w:rsid w:val="00AA6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24A6A528"/>
  <w15:docId w15:val="{1EEC3D4C-FC52-45F5-8CDE-287C477AB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hu-H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254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Csongor Péter Solti</cp:lastModifiedBy>
  <cp:revision>3</cp:revision>
  <dcterms:created xsi:type="dcterms:W3CDTF">2025-10-24T13:05:00Z</dcterms:created>
  <dcterms:modified xsi:type="dcterms:W3CDTF">2025-10-28T23:10:00Z</dcterms:modified>
</cp:coreProperties>
</file>