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CBA77B0">
      <w:pPr>
        <w:pStyle w:val="2"/>
        <w:rPr>
          <w:rFonts w:hint="default" w:ascii="Arial" w:hAnsi="Arial" w:cs="Arial"/>
          <w:color w:val="auto"/>
          <w:highlight w:val="none"/>
        </w:rPr>
      </w:pPr>
      <w:r>
        <w:rPr>
          <w:rFonts w:hint="default" w:ascii="Arial" w:hAnsi="Arial" w:cs="Arial"/>
          <w:color w:val="auto"/>
          <w:highlight w:val="none"/>
        </w:rPr>
        <w:t>Documentação do Processo de Inscrição - Programa Trilhas</w:t>
      </w:r>
    </w:p>
    <w:p w14:paraId="59BEC9A7">
      <w:pPr>
        <w:rPr>
          <w:rFonts w:hint="default"/>
        </w:rPr>
      </w:pPr>
    </w:p>
    <w:p w14:paraId="3235CF9E">
      <w:pPr>
        <w:pStyle w:val="3"/>
        <w:rPr>
          <w:rFonts w:hint="default" w:ascii="Arial" w:hAnsi="Arial" w:cs="Arial"/>
          <w:color w:val="auto"/>
          <w:highlight w:val="none"/>
        </w:rPr>
      </w:pPr>
      <w:r>
        <w:rPr>
          <w:rFonts w:hint="default" w:ascii="Arial" w:hAnsi="Arial" w:cs="Arial"/>
          <w:color w:val="auto"/>
          <w:highlight w:val="none"/>
        </w:rPr>
        <w:t>1. Objetivo do Sistema</w:t>
      </w:r>
    </w:p>
    <w:p w14:paraId="477BF87B">
      <w:pPr>
        <w:rPr>
          <w:rFonts w:hint="default" w:ascii="Arial" w:hAnsi="Arial" w:cs="Arial"/>
          <w:color w:val="auto"/>
          <w:highlight w:val="none"/>
        </w:rPr>
      </w:pPr>
      <w:r>
        <w:rPr>
          <w:rFonts w:hint="default" w:ascii="Arial" w:hAnsi="Arial" w:cs="Arial"/>
          <w:color w:val="auto"/>
          <w:highlight w:val="none"/>
        </w:rPr>
        <w:t>O objetivo do sistema de inscrição é permitir que os participantes se inscrevam de forma simples, segura e digital no Programa Trilhas, um programa educacional voltado a áreas tecnológicas. O sistema coleta dados pessoais, documentos e preferências dos candidatos, valida essas informações e as armazena adequadamente. Com as atualizações mais recentes, o sistema passou a contar também com uma tela de login, autenticação por CPF e senha, mensagens de confirmação, e validação de campos em JavaScript.</w:t>
      </w:r>
    </w:p>
    <w:p w14:paraId="14E054F2">
      <w:pPr>
        <w:pStyle w:val="3"/>
        <w:rPr>
          <w:rFonts w:hint="default" w:ascii="Arial" w:hAnsi="Arial" w:cs="Arial"/>
          <w:color w:val="auto"/>
          <w:highlight w:val="none"/>
        </w:rPr>
      </w:pPr>
      <w:r>
        <w:rPr>
          <w:rFonts w:hint="default" w:ascii="Arial" w:hAnsi="Arial" w:cs="Arial"/>
          <w:color w:val="auto"/>
          <w:highlight w:val="none"/>
        </w:rPr>
        <w:t>2. Problema que Precisa Ser Resolvido</w:t>
      </w:r>
    </w:p>
    <w:p w14:paraId="258211D0">
      <w:pPr>
        <w:rPr>
          <w:rFonts w:hint="default" w:ascii="Arial" w:hAnsi="Arial" w:cs="Arial"/>
          <w:color w:val="auto"/>
          <w:highlight w:val="none"/>
        </w:rPr>
      </w:pPr>
      <w:r>
        <w:rPr>
          <w:rFonts w:hint="default" w:ascii="Arial" w:hAnsi="Arial" w:cs="Arial"/>
          <w:color w:val="auto"/>
          <w:highlight w:val="none"/>
        </w:rPr>
        <w:t>A proposta busca resolver a lentidão e a complexidade dos processos manuais de inscrição, que muitas vezes resultam em erros, perda de dados e experiências negativas para o usuário. A digitalização do processo visa garantir a coleta segura de dados, validação automática de campos críticos (como CPF e e-mail), e oferecer uma interface limpa e acessível que facilite o preenchimento por usuários de diferentes níveis de familiaridade com tecnologia.</w:t>
      </w:r>
    </w:p>
    <w:p w14:paraId="7BB6F53F">
      <w:pPr>
        <w:pStyle w:val="3"/>
        <w:rPr>
          <w:rFonts w:hint="default" w:ascii="Arial" w:hAnsi="Arial" w:cs="Arial"/>
          <w:color w:val="auto"/>
          <w:highlight w:val="none"/>
        </w:rPr>
      </w:pPr>
      <w:r>
        <w:rPr>
          <w:rFonts w:hint="default" w:ascii="Arial" w:hAnsi="Arial" w:cs="Arial"/>
          <w:color w:val="auto"/>
          <w:highlight w:val="none"/>
        </w:rPr>
        <w:t>3. Público-Alvo e Perfil dos Usuários</w:t>
      </w:r>
    </w:p>
    <w:p w14:paraId="0E99A94E">
      <w:pPr>
        <w:rPr>
          <w:rFonts w:hint="default" w:ascii="Arial" w:hAnsi="Arial" w:cs="Arial"/>
          <w:color w:val="auto"/>
          <w:highlight w:val="none"/>
        </w:rPr>
      </w:pPr>
      <w:r>
        <w:rPr>
          <w:rFonts w:hint="default" w:ascii="Arial" w:hAnsi="Arial" w:cs="Arial"/>
          <w:color w:val="auto"/>
          <w:highlight w:val="none"/>
        </w:rPr>
        <w:t>O público-alvo do sistema são indivíduos interessados em participar do Programa Trilhas, focado em áreas como programação, design e ciência de dados. O perfil dos usuários inclui: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● Idade: A partir de 16 anos, sem limite máximo de idade.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● Perfil acadêmico: Estudantes, profissionais ou pessoas interessadas em se especializar em áreas de tecnologia.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● Experiência com tecnologia: Usuários com níveis variados de experiência em tecnologia, desde iniciantes até intermediários.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 xml:space="preserve">● Demanda por cursos online: Interesse em desenvolver habilidades práticas e adquirir certificação </w:t>
      </w:r>
      <w:bookmarkStart w:id="0" w:name="_GoBack"/>
      <w:bookmarkEnd w:id="0"/>
      <w:r>
        <w:rPr>
          <w:rFonts w:hint="default" w:ascii="Arial" w:hAnsi="Arial" w:cs="Arial"/>
          <w:color w:val="auto"/>
          <w:highlight w:val="none"/>
        </w:rPr>
        <w:t>nas áreas oferecidas pelo programa.</w:t>
      </w:r>
    </w:p>
    <w:p w14:paraId="1593D66D">
      <w:pPr>
        <w:pStyle w:val="3"/>
        <w:rPr>
          <w:rFonts w:hint="default" w:ascii="Arial" w:hAnsi="Arial" w:cs="Arial"/>
          <w:color w:val="auto"/>
          <w:highlight w:val="none"/>
        </w:rPr>
      </w:pPr>
      <w:r>
        <w:rPr>
          <w:rFonts w:hint="default" w:ascii="Arial" w:hAnsi="Arial" w:cs="Arial"/>
          <w:color w:val="auto"/>
          <w:highlight w:val="none"/>
        </w:rPr>
        <w:t>4. Funcionalidades Principais</w:t>
      </w:r>
    </w:p>
    <w:p w14:paraId="5E87A08D">
      <w:pPr>
        <w:rPr>
          <w:rFonts w:hint="default" w:ascii="Arial" w:hAnsi="Arial" w:cs="Arial"/>
          <w:color w:val="auto"/>
          <w:highlight w:val="none"/>
        </w:rPr>
      </w:pPr>
      <w:r>
        <w:rPr>
          <w:rFonts w:hint="default" w:ascii="Arial" w:hAnsi="Arial" w:cs="Arial"/>
          <w:color w:val="auto"/>
          <w:highlight w:val="none"/>
        </w:rPr>
        <w:t>As funcionalidades principais do sistema de inscrição incluem:</w:t>
      </w:r>
    </w:p>
    <w:p w14:paraId="07495D47">
      <w:pPr>
        <w:rPr>
          <w:rFonts w:hint="default" w:ascii="Arial" w:hAnsi="Arial" w:cs="Arial"/>
          <w:color w:val="auto"/>
          <w:highlight w:val="none"/>
        </w:rPr>
      </w:pP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● Autenticação com CPF e senha: Tela de login com validação.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● Interface em modo escuro: Pensada para conforto visual e acessibilidade.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● Formulário com validações de entrada: Inclui campos obrigatórios como nome, CPF, data de nascimento, e-mail e telefone.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● Validação automática em JavaScript: Para CPF, e-mail, telefone e preenchimento completo antes de permitir o envio.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● Upload de documentos: RG/CPF e comprovante de residência.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● Seleção de trilhas ou áreas temáticas: Como 'Desenvolvimento FrontEnd', 'Desenvolvimento de Jogos', 'Ciência de Dados', etc.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● Aceite dos termos: O usuário deve marcar um checkbox confirmando a leitura e concordância com os termos e condições.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● Botões de ação: 'Cancelar', 'Voltar', e 'Fazer Inscrição'.</w:t>
      </w:r>
    </w:p>
    <w:p w14:paraId="27B7FD3E">
      <w:pPr>
        <w:pStyle w:val="3"/>
        <w:numPr>
          <w:ilvl w:val="0"/>
          <w:numId w:val="7"/>
        </w:numPr>
        <w:rPr>
          <w:rFonts w:hint="default" w:ascii="Arial" w:hAnsi="Arial" w:cs="Arial"/>
          <w:color w:val="auto"/>
          <w:highlight w:val="none"/>
        </w:rPr>
      </w:pPr>
      <w:r>
        <w:rPr>
          <w:rFonts w:hint="default" w:ascii="Arial" w:hAnsi="Arial" w:cs="Arial"/>
          <w:color w:val="auto"/>
          <w:highlight w:val="none"/>
        </w:rPr>
        <w:t>Etapas do Processo de Inscrição</w:t>
      </w:r>
    </w:p>
    <w:p w14:paraId="5BE4EB0B">
      <w:pPr>
        <w:numPr>
          <w:numId w:val="0"/>
        </w:numPr>
        <w:rPr>
          <w:rFonts w:hint="default"/>
        </w:rPr>
      </w:pPr>
    </w:p>
    <w:p w14:paraId="5E8BA831">
      <w:pPr>
        <w:rPr>
          <w:rFonts w:hint="default" w:ascii="Arial" w:hAnsi="Arial" w:cs="Arial"/>
          <w:color w:val="auto"/>
          <w:highlight w:val="none"/>
        </w:rPr>
      </w:pPr>
      <w:r>
        <w:rPr>
          <w:rFonts w:hint="default" w:ascii="Arial" w:hAnsi="Arial" w:cs="Arial"/>
          <w:color w:val="auto"/>
          <w:highlight w:val="none"/>
        </w:rPr>
        <w:t>O processo de inscrição segue as seguintes etapas: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1. Acesso ao Formulário de Inscrição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 xml:space="preserve">   ○ O usuário acessa a página inicial e realiza o login com CPF e senha.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 xml:space="preserve">   ○ Caso não tenha cadastro, é redirecionado para a etapa de criação de conta.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2. Preenchimento do Formulário de Inscrição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 xml:space="preserve">   ○ O participante preenche os dados pessoais obrigatórios.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 xml:space="preserve">   ○ O sistema valida o formato dos dados.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 xml:space="preserve">   ○ O usuário faz o upload dos documentos.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3. Escolha da Trilha de Aprendizagem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 xml:space="preserve">   ○ O participante escolhe uma das trilhas de aprendizagem disponíveis.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4. Aceite dos Termos e Condições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 xml:space="preserve">   ○ O usuário marca um checkbox confirmando a leitura e aceitação dos termos.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5. Revisão e Confirmação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 xml:space="preserve">   ○ O candidato revisa os dados preenchidos antes do envio.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6. Envio da Inscrição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 xml:space="preserve">   ○ O participante clica em 'Fazer Inscrição' e recebe confirmação por e-mail.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7. Processamento e Avaliação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 xml:space="preserve">   ○ A inscrição é avaliada e o status é atualizado no sistema.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>8. Resultado e Convocação</w:t>
      </w:r>
      <w:r>
        <w:rPr>
          <w:rFonts w:hint="default" w:ascii="Arial" w:hAnsi="Arial" w:cs="Arial"/>
          <w:color w:val="auto"/>
          <w:highlight w:val="none"/>
        </w:rPr>
        <w:br w:type="textWrapping"/>
      </w:r>
      <w:r>
        <w:rPr>
          <w:rFonts w:hint="default" w:ascii="Arial" w:hAnsi="Arial" w:cs="Arial"/>
          <w:color w:val="auto"/>
          <w:highlight w:val="none"/>
        </w:rPr>
        <w:t xml:space="preserve">   ○ O participante é informado sobre o resultado por e-mail e recebe instruções sobre matrícula.</w:t>
      </w:r>
    </w:p>
    <w:p w14:paraId="2CE8EA12">
      <w:pPr>
        <w:pStyle w:val="3"/>
        <w:rPr>
          <w:rFonts w:hint="default" w:ascii="Arial" w:hAnsi="Arial" w:cs="Arial"/>
          <w:color w:val="auto"/>
          <w:highlight w:val="none"/>
        </w:rPr>
      </w:pPr>
      <w:r>
        <w:rPr>
          <w:rFonts w:hint="default" w:ascii="Arial" w:hAnsi="Arial" w:cs="Arial"/>
          <w:color w:val="auto"/>
          <w:highlight w:val="none"/>
        </w:rPr>
        <w:t>6. Considerações Finais</w:t>
      </w:r>
    </w:p>
    <w:p w14:paraId="61B252F8">
      <w:pPr>
        <w:rPr>
          <w:rFonts w:hint="default" w:ascii="Arial" w:hAnsi="Arial" w:cs="Arial"/>
          <w:color w:val="auto"/>
          <w:highlight w:val="none"/>
        </w:rPr>
      </w:pPr>
      <w:r>
        <w:rPr>
          <w:rFonts w:hint="default" w:ascii="Arial" w:hAnsi="Arial" w:cs="Arial"/>
          <w:color w:val="auto"/>
          <w:highlight w:val="none"/>
        </w:rPr>
        <w:t>O sistema de inscrição foi idealizado para otimizar o processo seletivo, oferecer acessibilidade, segurança de dados e uma experiência positiva para todos os usuários. O modo escuro foi implementado para reduzir o cansaço visual e garantir uma estética moderna e confortável. O sistema pode ser adaptado futuramente para novos cursos, trilhas e melhorias baseadas em feedbacks dos participantes.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Cavila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vilant">
    <w:panose1 w:val="02000500000000000000"/>
    <w:charset w:val="00"/>
    <w:family w:val="auto"/>
    <w:pitch w:val="default"/>
    <w:sig w:usb0="00000003" w:usb1="00000000" w:usb2="00000000" w:usb3="00000000" w:csb0="00000001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00C540D"/>
    <w:multiLevelType w:val="singleLevel"/>
    <w:tmpl w:val="E00C540D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23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18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19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35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3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6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CA9330C"/>
    <w:rsid w:val="12B25538"/>
    <w:rsid w:val="377C1015"/>
    <w:rsid w:val="381E5E4A"/>
    <w:rsid w:val="4EC12B91"/>
    <w:rsid w:val="650D74DA"/>
    <w:rsid w:val="65AA4D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qFormat="1"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40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2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7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Strong"/>
    <w:basedOn w:val="11"/>
    <w:qFormat/>
    <w:uiPriority w:val="22"/>
    <w:rPr>
      <w:b/>
      <w:bCs/>
    </w:rPr>
  </w:style>
  <w:style w:type="character" w:styleId="14">
    <w:name w:val="Emphasis"/>
    <w:basedOn w:val="11"/>
    <w:qFormat/>
    <w:uiPriority w:val="20"/>
    <w:rPr>
      <w:i/>
      <w:iCs/>
    </w:rPr>
  </w:style>
  <w:style w:type="paragraph" w:styleId="15">
    <w:name w:val="List"/>
    <w:basedOn w:val="1"/>
    <w:unhideWhenUsed/>
    <w:uiPriority w:val="99"/>
    <w:pPr>
      <w:ind w:left="360" w:hanging="360"/>
      <w:contextualSpacing/>
    </w:pPr>
  </w:style>
  <w:style w:type="paragraph" w:styleId="16">
    <w:name w:val="Body Text"/>
    <w:basedOn w:val="1"/>
    <w:link w:val="46"/>
    <w:unhideWhenUsed/>
    <w:qFormat/>
    <w:uiPriority w:val="99"/>
    <w:pPr>
      <w:spacing w:after="120"/>
    </w:pPr>
  </w:style>
  <w:style w:type="paragraph" w:styleId="17">
    <w:name w:val="Title"/>
    <w:basedOn w:val="1"/>
    <w:next w:val="1"/>
    <w:link w:val="43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paragraph" w:styleId="18">
    <w:name w:val="List Bullet 3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19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0">
    <w:name w:val="macro"/>
    <w:link w:val="49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1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2">
    <w:name w:val="Body Text 3"/>
    <w:basedOn w:val="1"/>
    <w:link w:val="48"/>
    <w:unhideWhenUsed/>
    <w:qFormat/>
    <w:uiPriority w:val="99"/>
    <w:pPr>
      <w:spacing w:after="120"/>
    </w:pPr>
    <w:rPr>
      <w:sz w:val="16"/>
      <w:szCs w:val="16"/>
    </w:rPr>
  </w:style>
  <w:style w:type="paragraph" w:styleId="23">
    <w:name w:val="List Number 2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4">
    <w:name w:val="Body Text 2"/>
    <w:basedOn w:val="1"/>
    <w:link w:val="47"/>
    <w:unhideWhenUsed/>
    <w:qFormat/>
    <w:uiPriority w:val="99"/>
    <w:pPr>
      <w:spacing w:after="120" w:line="480" w:lineRule="auto"/>
    </w:pPr>
  </w:style>
  <w:style w:type="paragraph" w:styleId="25">
    <w:name w:val="head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6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7">
    <w:name w:val="footer"/>
    <w:basedOn w:val="1"/>
    <w:link w:val="3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8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9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30">
    <w:name w:val="List 3"/>
    <w:basedOn w:val="1"/>
    <w:unhideWhenUsed/>
    <w:uiPriority w:val="99"/>
    <w:pPr>
      <w:ind w:left="1080" w:hanging="360"/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2">
    <w:name w:val="Subtitle"/>
    <w:basedOn w:val="1"/>
    <w:next w:val="1"/>
    <w:link w:val="4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33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4">
    <w:name w:val="List Bullet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5">
    <w:name w:val="List Number"/>
    <w:basedOn w:val="1"/>
    <w:unhideWhenUsed/>
    <w:uiPriority w:val="99"/>
    <w:pPr>
      <w:numPr>
        <w:ilvl w:val="0"/>
        <w:numId w:val="6"/>
      </w:numPr>
      <w:contextualSpacing/>
    </w:pPr>
  </w:style>
  <w:style w:type="table" w:styleId="36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7">
    <w:name w:val="Header Char"/>
    <w:basedOn w:val="11"/>
    <w:link w:val="25"/>
    <w:uiPriority w:val="99"/>
  </w:style>
  <w:style w:type="character" w:customStyle="1" w:styleId="38">
    <w:name w:val="Footer Char"/>
    <w:basedOn w:val="11"/>
    <w:link w:val="27"/>
    <w:qFormat/>
    <w:uiPriority w:val="99"/>
  </w:style>
  <w:style w:type="paragraph" w:styleId="39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40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1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2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3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4">
    <w:name w:val="Subtitle Char"/>
    <w:basedOn w:val="11"/>
    <w:link w:val="32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5">
    <w:name w:val="List Paragraph"/>
    <w:basedOn w:val="1"/>
    <w:qFormat/>
    <w:uiPriority w:val="34"/>
    <w:pPr>
      <w:ind w:left="720"/>
      <w:contextualSpacing/>
    </w:pPr>
  </w:style>
  <w:style w:type="character" w:customStyle="1" w:styleId="46">
    <w:name w:val="Body Text Char"/>
    <w:basedOn w:val="11"/>
    <w:link w:val="16"/>
    <w:uiPriority w:val="99"/>
  </w:style>
  <w:style w:type="character" w:customStyle="1" w:styleId="47">
    <w:name w:val="Body Text 2 Char"/>
    <w:basedOn w:val="11"/>
    <w:link w:val="24"/>
    <w:uiPriority w:val="99"/>
  </w:style>
  <w:style w:type="character" w:customStyle="1" w:styleId="48">
    <w:name w:val="Body Text 3 Char"/>
    <w:basedOn w:val="11"/>
    <w:link w:val="22"/>
    <w:uiPriority w:val="99"/>
    <w:rPr>
      <w:sz w:val="16"/>
      <w:szCs w:val="16"/>
    </w:rPr>
  </w:style>
  <w:style w:type="character" w:customStyle="1" w:styleId="49">
    <w:name w:val="Macro Text Char"/>
    <w:basedOn w:val="11"/>
    <w:link w:val="20"/>
    <w:qFormat/>
    <w:uiPriority w:val="99"/>
    <w:rPr>
      <w:rFonts w:ascii="Courier" w:hAnsi="Courier"/>
      <w:sz w:val="20"/>
      <w:szCs w:val="20"/>
    </w:rPr>
  </w:style>
  <w:style w:type="paragraph" w:styleId="50">
    <w:name w:val="Quote"/>
    <w:basedOn w:val="1"/>
    <w:next w:val="1"/>
    <w:link w:val="51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Quote Char"/>
    <w:basedOn w:val="11"/>
    <w:link w:val="50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2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3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4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5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6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7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8">
    <w:name w:val="Intense Quote"/>
    <w:basedOn w:val="1"/>
    <w:next w:val="1"/>
    <w:link w:val="59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Intense Quote Char"/>
    <w:basedOn w:val="11"/>
    <w:link w:val="58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0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1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2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3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4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5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6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12"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12"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12"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12"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12"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12"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12"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12"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Paulo Rafael</cp:lastModifiedBy>
  <dcterms:modified xsi:type="dcterms:W3CDTF">2025-04-10T14:14:44Z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1046-12.2.0.20782</vt:lpwstr>
  </property>
  <property fmtid="{D5CDD505-2E9C-101B-9397-08002B2CF9AE}" pid="3" name="ICV">
    <vt:lpwstr>2E2203EE88B74D6386EC6360B1BD0861_13</vt:lpwstr>
  </property>
</Properties>
</file>