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sz w:val="48"/>
          <w:szCs w:val="48"/>
        </w:rPr>
        <w:t xml:space="preserve">Serie: 5 Videos de Marketing</w:t>
      </w:r>
    </w:p>
    <w:p>
      <w:pPr>
        <w:spacing w:after="0" w:before="0"/>
        <w:jc w:val="center"/>
      </w:pPr>
      <w:r>
        <w:rPr>
          <w:rFonts w:ascii="Arial" w:cs="Arial" w:eastAsia="Arial" w:hAnsi="Arial"/>
          <w:i/>
          <w:iCs/>
          <w:color w:val="808080"/>
          <w:sz w:val="24"/>
          <w:szCs w:val="24"/>
        </w:rPr>
        <w:t xml:space="preserve">Guiones para Reels / TikTok / Shorts</w:t>
      </w:r>
    </w:p>
    <w:p>
      <w:pPr>
        <w:pageBreakBefore/>
        <w:spacing w:after="240" w:before="0"/>
      </w:pPr>
      <w:r>
        <w:rPr>
          <w:rFonts w:ascii="Arial" w:cs="Arial" w:eastAsia="Arial" w:hAnsi="Arial"/>
          <w:b/>
          <w:bCs/>
          <w:sz w:val="56"/>
          <w:szCs w:val="56"/>
        </w:rPr>
        <w:t xml:space="preserve">GUION 1 — La campaña de 25x ROAS</w:t>
      </w:r>
    </w:p>
    <w:p>
      <w:pPr>
        <w:spacing w:after="60" w:before="200"/>
      </w:pPr>
      <w:r>
        <w:rPr>
          <w:rFonts w:ascii="Arial" w:cs="Arial" w:eastAsia="Arial" w:hAnsi="Arial"/>
          <w:b/>
          <w:bCs/>
          <w:caps/>
          <w:color w:val="FF4B14"/>
          <w:sz w:val="24"/>
          <w:szCs w:val="24"/>
        </w:rPr>
        <w:t xml:space="preserve">HOOK:</w:t>
      </w:r>
    </w:p>
    <w:p>
      <w:pPr>
        <w:spacing w:after="120" w:before="0"/>
      </w:pPr>
      <w:r>
        <w:rPr>
          <w:rFonts w:ascii="Arial" w:cs="Arial" w:eastAsia="Arial" w:hAnsi="Arial"/>
          <w:sz w:val="24"/>
          <w:szCs w:val="24"/>
        </w:rPr>
        <w:t xml:space="preserve">“Cinco mil pesos invertí en esta campaña. Adivina cuánto regresó… Ciento treinta y cuatro mil.”</w:t>
      </w:r>
    </w:p>
    <w:p>
      <w:pPr>
        <w:spacing w:after="60" w:before="200"/>
      </w:pPr>
      <w:r>
        <w:rPr>
          <w:rFonts w:ascii="Arial" w:cs="Arial" w:eastAsia="Arial" w:hAnsi="Arial"/>
          <w:b/>
          <w:bCs/>
          <w:caps/>
          <w:color w:val="FF4B14"/>
          <w:sz w:val="24"/>
          <w:szCs w:val="24"/>
        </w:rPr>
        <w:t xml:space="preserve">CUERPO:</w:t>
      </w:r>
    </w:p>
    <w:p>
      <w:pPr>
        <w:spacing w:after="120" w:before="0"/>
      </w:pPr>
      <w:r>
        <w:rPr>
          <w:rFonts w:ascii="Arial" w:cs="Arial" w:eastAsia="Arial" w:hAnsi="Arial"/>
          <w:sz w:val="24"/>
          <w:szCs w:val="24"/>
        </w:rPr>
        <w:t xml:space="preserve">Y no fue suerte ni un creativo viral. Fue una campaña de catálogo con remarketing: gente que ya había visto el producto, y le volví a poner enfrente exactamente ese producto, con su precio. Frío directo a compra es carísimo. Caliente más producto específico es donde está el dinero. El apalancamiento no estuvo en gastar más, estuvo en la capa de remarketing.</w:t>
      </w:r>
    </w:p>
    <w:p>
      <w:pPr>
        <w:spacing w:after="60" w:before="200"/>
      </w:pPr>
      <w:r>
        <w:rPr>
          <w:rFonts w:ascii="Arial" w:cs="Arial" w:eastAsia="Arial" w:hAnsi="Arial"/>
          <w:b/>
          <w:bCs/>
          <w:caps/>
          <w:color w:val="FF4B14"/>
          <w:sz w:val="24"/>
          <w:szCs w:val="24"/>
        </w:rPr>
        <w:t xml:space="preserve">CTA:</w:t>
      </w:r>
    </w:p>
    <w:p>
      <w:pPr>
        <w:pBdr>
          <w:bottom w:val="single" w:color="CCCCCC" w:sz="4" w:space="4"/>
        </w:pBdr>
        <w:spacing w:after="200" w:before="0"/>
      </w:pPr>
      <w:r>
        <w:rPr>
          <w:rFonts w:ascii="Arial" w:cs="Arial" w:eastAsia="Arial" w:hAnsi="Arial"/>
          <w:sz w:val="24"/>
          <w:szCs w:val="24"/>
        </w:rPr>
        <w:t xml:space="preserve">Si tienes catálogo y no corres remarketing de catálogo, estás dejando billete en la mesa.</w:t>
      </w:r>
    </w:p>
    <w:p>
      <w:pPr>
        <w:pageBreakBefore/>
        <w:spacing w:after="240" w:before="0"/>
      </w:pPr>
      <w:r>
        <w:rPr>
          <w:rFonts w:ascii="Arial" w:cs="Arial" w:eastAsia="Arial" w:hAnsi="Arial"/>
          <w:b/>
          <w:bCs/>
          <w:sz w:val="56"/>
          <w:szCs w:val="56"/>
        </w:rPr>
        <w:t xml:space="preserve">GUION 2 — El error #1 en embudos</w:t>
      </w:r>
    </w:p>
    <w:p>
      <w:pPr>
        <w:spacing w:after="60" w:before="200"/>
      </w:pPr>
      <w:r>
        <w:rPr>
          <w:rFonts w:ascii="Arial" w:cs="Arial" w:eastAsia="Arial" w:hAnsi="Arial"/>
          <w:b/>
          <w:bCs/>
          <w:caps/>
          <w:color w:val="FF4B14"/>
          <w:sz w:val="24"/>
          <w:szCs w:val="24"/>
        </w:rPr>
        <w:t xml:space="preserve">HOOK:</w:t>
      </w:r>
    </w:p>
    <w:p>
      <w:pPr>
        <w:spacing w:after="120" w:before="0"/>
      </w:pPr>
      <w:r>
        <w:rPr>
          <w:rFonts w:ascii="Arial" w:cs="Arial" w:eastAsia="Arial" w:hAnsi="Arial"/>
          <w:sz w:val="24"/>
          <w:szCs w:val="24"/>
        </w:rPr>
        <w:t xml:space="preserve">“El 90% de las campañas que audito tienen el mismo error. Y no, no es el creativo.”</w:t>
      </w:r>
    </w:p>
    <w:p>
      <w:pPr>
        <w:spacing w:after="60" w:before="200"/>
      </w:pPr>
      <w:r>
        <w:rPr>
          <w:rFonts w:ascii="Arial" w:cs="Arial" w:eastAsia="Arial" w:hAnsi="Arial"/>
          <w:b/>
          <w:bCs/>
          <w:caps/>
          <w:color w:val="FF4B14"/>
          <w:sz w:val="24"/>
          <w:szCs w:val="24"/>
        </w:rPr>
        <w:t xml:space="preserve">CUERPO:</w:t>
      </w:r>
    </w:p>
    <w:p>
      <w:pPr>
        <w:spacing w:after="120" w:before="0"/>
      </w:pPr>
      <w:r>
        <w:rPr>
          <w:rFonts w:ascii="Arial" w:cs="Arial" w:eastAsia="Arial" w:hAnsi="Arial"/>
          <w:sz w:val="24"/>
          <w:szCs w:val="24"/>
        </w:rPr>
        <w:t xml:space="preserve">Mandan tráfico frío directo a comprar. No hay puente. Un embudo no es “anuncio → compra”. Es “que te conozcan → que confíen → que compren”. Cada etapa pide un mensaje distinto. Al frío le hablas del problema. Al que ya te conoce le quitas la objeción. Al que ya casi, le pones la oferta. Mismo anuncio para los tres y quemas presupuesto.</w:t>
      </w:r>
    </w:p>
    <w:p>
      <w:pPr>
        <w:spacing w:after="60" w:before="200"/>
      </w:pPr>
      <w:r>
        <w:rPr>
          <w:rFonts w:ascii="Arial" w:cs="Arial" w:eastAsia="Arial" w:hAnsi="Arial"/>
          <w:b/>
          <w:bCs/>
          <w:caps/>
          <w:color w:val="FF4B14"/>
          <w:sz w:val="24"/>
          <w:szCs w:val="24"/>
        </w:rPr>
        <w:t xml:space="preserve">CTA:</w:t>
      </w:r>
    </w:p>
    <w:p>
      <w:pPr>
        <w:pBdr>
          <w:bottom w:val="single" w:color="CCCCCC" w:sz="4" w:space="4"/>
        </w:pBdr>
        <w:spacing w:after="200" w:before="0"/>
      </w:pPr>
      <w:r>
        <w:rPr>
          <w:rFonts w:ascii="Arial" w:cs="Arial" w:eastAsia="Arial" w:hAnsi="Arial"/>
          <w:sz w:val="24"/>
          <w:szCs w:val="24"/>
        </w:rPr>
        <w:t xml:space="preserve">¿Quieres que desarme un embudo bien armado etapa por etapa? Dímelo en comentarios.</w:t>
      </w:r>
    </w:p>
    <w:p>
      <w:pPr>
        <w:pageBreakBefore/>
        <w:spacing w:after="240" w:before="0"/>
      </w:pPr>
      <w:r>
        <w:rPr>
          <w:rFonts w:ascii="Arial" w:cs="Arial" w:eastAsia="Arial" w:hAnsi="Arial"/>
          <w:b/>
          <w:bCs/>
          <w:sz w:val="56"/>
          <w:szCs w:val="56"/>
        </w:rPr>
        <w:t xml:space="preserve">GUION 3 — Un video, todo el embudo</w:t>
      </w:r>
    </w:p>
    <w:p>
      <w:pPr>
        <w:spacing w:after="60" w:before="200"/>
      </w:pPr>
      <w:r>
        <w:rPr>
          <w:rFonts w:ascii="Arial" w:cs="Arial" w:eastAsia="Arial" w:hAnsi="Arial"/>
          <w:b/>
          <w:bCs/>
          <w:caps/>
          <w:color w:val="FF4B14"/>
          <w:sz w:val="24"/>
          <w:szCs w:val="24"/>
        </w:rPr>
        <w:t xml:space="preserve">HOOK:</w:t>
      </w:r>
    </w:p>
    <w:p>
      <w:pPr>
        <w:spacing w:after="120" w:before="0"/>
      </w:pPr>
      <w:r>
        <w:rPr>
          <w:rFonts w:ascii="Arial" w:cs="Arial" w:eastAsia="Arial" w:hAnsi="Arial"/>
          <w:sz w:val="24"/>
          <w:szCs w:val="24"/>
        </w:rPr>
        <w:t xml:space="preserve">“No necesitas un video para frío y otro para caliente. Uno puede hacer los dos.”</w:t>
      </w:r>
    </w:p>
    <w:p>
      <w:pPr>
        <w:spacing w:after="60" w:before="200"/>
      </w:pPr>
      <w:r>
        <w:rPr>
          <w:rFonts w:ascii="Arial" w:cs="Arial" w:eastAsia="Arial" w:hAnsi="Arial"/>
          <w:b/>
          <w:bCs/>
          <w:caps/>
          <w:color w:val="FF4B14"/>
          <w:sz w:val="24"/>
          <w:szCs w:val="24"/>
        </w:rPr>
        <w:t xml:space="preserve">CUERPO:</w:t>
      </w:r>
    </w:p>
    <w:p>
      <w:pPr>
        <w:spacing w:after="120" w:before="0"/>
      </w:pPr>
      <w:r>
        <w:rPr>
          <w:rFonts w:ascii="Arial" w:cs="Arial" w:eastAsia="Arial" w:hAnsi="Arial"/>
          <w:sz w:val="24"/>
          <w:szCs w:val="24"/>
        </w:rPr>
        <w:t xml:space="preserve">La gente cree que necesita creativos separados para arriba y abajo del embudo. En escala tiene sentido, pero no es obligatorio. Un video bien construido atrapa al frío con el hook, le explica en el cuerpo por qué esto resuelve su problema, y cierra con la oferta al que ya estaba listo. El frío que lo ve dos veces ya es tibio. El tibio que lo ve otra vez, compra. Si el embudo está bien armado, ese mismo video convierte a alguien frío en compra sin que el CAC se dispare. No es magia, es estructura.</w:t>
      </w:r>
    </w:p>
    <w:p>
      <w:pPr>
        <w:spacing w:after="60" w:before="200"/>
      </w:pPr>
      <w:r>
        <w:rPr>
          <w:rFonts w:ascii="Arial" w:cs="Arial" w:eastAsia="Arial" w:hAnsi="Arial"/>
          <w:b/>
          <w:bCs/>
          <w:caps/>
          <w:color w:val="FF4B14"/>
          <w:sz w:val="24"/>
          <w:szCs w:val="24"/>
        </w:rPr>
        <w:t xml:space="preserve">CTA:</w:t>
      </w:r>
    </w:p>
    <w:p>
      <w:pPr>
        <w:pBdr>
          <w:bottom w:val="single" w:color="CCCCCC" w:sz="4" w:space="4"/>
        </w:pBdr>
        <w:spacing w:after="200" w:before="0"/>
      </w:pPr>
      <w:r>
        <w:rPr>
          <w:rFonts w:ascii="Arial" w:cs="Arial" w:eastAsia="Arial" w:hAnsi="Arial"/>
          <w:sz w:val="24"/>
          <w:szCs w:val="24"/>
        </w:rPr>
        <w:t xml:space="preserve">Antes de dividir presupuestos y hacer diez creativos, pregúntate si el que ya tienes cuenta la historia completa.</w:t>
      </w:r>
    </w:p>
    <w:p>
      <w:pPr>
        <w:pageBreakBefore/>
        <w:spacing w:after="240" w:before="0"/>
      </w:pPr>
      <w:r>
        <w:rPr>
          <w:rFonts w:ascii="Arial" w:cs="Arial" w:eastAsia="Arial" w:hAnsi="Arial"/>
          <w:b/>
          <w:bCs/>
          <w:sz w:val="56"/>
          <w:szCs w:val="56"/>
        </w:rPr>
        <w:t xml:space="preserve">GUION 4 — Duplicar tu presupuesto NO duplica tus ventas</w:t>
      </w:r>
    </w:p>
    <w:p>
      <w:pPr>
        <w:spacing w:after="60" w:before="200"/>
      </w:pPr>
      <w:r>
        <w:rPr>
          <w:rFonts w:ascii="Arial" w:cs="Arial" w:eastAsia="Arial" w:hAnsi="Arial"/>
          <w:b/>
          <w:bCs/>
          <w:caps/>
          <w:color w:val="FF4B14"/>
          <w:sz w:val="24"/>
          <w:szCs w:val="24"/>
        </w:rPr>
        <w:t xml:space="preserve">HOOK:</w:t>
      </w:r>
    </w:p>
    <w:p>
      <w:pPr>
        <w:spacing w:after="120" w:before="0"/>
      </w:pPr>
      <w:r>
        <w:rPr>
          <w:rFonts w:ascii="Arial" w:cs="Arial" w:eastAsia="Arial" w:hAnsi="Arial"/>
          <w:sz w:val="24"/>
          <w:szCs w:val="24"/>
        </w:rPr>
        <w:t xml:space="preserve">“Si duplicas tu presupuesto en Meta esperando el doble de ventas, malas noticias.”</w:t>
      </w:r>
    </w:p>
    <w:p>
      <w:pPr>
        <w:spacing w:after="60" w:before="200"/>
      </w:pPr>
      <w:r>
        <w:rPr>
          <w:rFonts w:ascii="Arial" w:cs="Arial" w:eastAsia="Arial" w:hAnsi="Arial"/>
          <w:b/>
          <w:bCs/>
          <w:caps/>
          <w:color w:val="FF4B14"/>
          <w:sz w:val="24"/>
          <w:szCs w:val="24"/>
        </w:rPr>
        <w:t xml:space="preserve">CUERPO:</w:t>
      </w:r>
    </w:p>
    <w:p>
      <w:pPr>
        <w:spacing w:after="120" w:before="0"/>
      </w:pPr>
      <w:r>
        <w:rPr>
          <w:rFonts w:ascii="Arial" w:cs="Arial" w:eastAsia="Arial" w:hAnsi="Arial"/>
          <w:sz w:val="24"/>
          <w:szCs w:val="24"/>
        </w:rPr>
        <w:t xml:space="preserve">No funciona lineal. Cuando subes el gasto de golpe pasan tres cosas: reinicias la fase de aprendizaje, saturas a tu mejor audiencia —sube la frecuencia, baja el rendimiento— y empiezas a pagar por gente menos calificada. Escalar no es subirle al número, es ampliar el embudo: más ángulos, más creativos, más audiencias nuevas. El presupuesto sigue a la estructura, no al revés.</w:t>
      </w:r>
    </w:p>
    <w:p>
      <w:pPr>
        <w:spacing w:after="60" w:before="200"/>
      </w:pPr>
      <w:r>
        <w:rPr>
          <w:rFonts w:ascii="Arial" w:cs="Arial" w:eastAsia="Arial" w:hAnsi="Arial"/>
          <w:b/>
          <w:bCs/>
          <w:caps/>
          <w:color w:val="FF4B14"/>
          <w:sz w:val="24"/>
          <w:szCs w:val="24"/>
        </w:rPr>
        <w:t xml:space="preserve">CTA:</w:t>
      </w:r>
    </w:p>
    <w:p>
      <w:pPr>
        <w:pBdr>
          <w:bottom w:val="single" w:color="CCCCCC" w:sz="4" w:space="4"/>
        </w:pBdr>
        <w:spacing w:after="200" w:before="0"/>
      </w:pPr>
      <w:r>
        <w:rPr>
          <w:rFonts w:ascii="Arial" w:cs="Arial" w:eastAsia="Arial" w:hAnsi="Arial"/>
          <w:sz w:val="24"/>
          <w:szCs w:val="24"/>
        </w:rPr>
        <w:t xml:space="preserve">Sube de a poco, máximo 20% por semana, y solo si el ROAS aguanta. Lo demás es quemar dinero.</w:t>
      </w:r>
    </w:p>
    <w:p>
      <w:pPr>
        <w:pageBreakBefore/>
        <w:spacing w:after="240" w:before="0"/>
      </w:pPr>
      <w:r>
        <w:rPr>
          <w:rFonts w:ascii="Arial" w:cs="Arial" w:eastAsia="Arial" w:hAnsi="Arial"/>
          <w:b/>
          <w:bCs/>
          <w:sz w:val="56"/>
          <w:szCs w:val="56"/>
        </w:rPr>
        <w:t xml:space="preserve">GUION 5 — La oferta se come al embudo</w:t>
      </w:r>
    </w:p>
    <w:p>
      <w:pPr>
        <w:spacing w:after="60" w:before="200"/>
      </w:pPr>
      <w:r>
        <w:rPr>
          <w:rFonts w:ascii="Arial" w:cs="Arial" w:eastAsia="Arial" w:hAnsi="Arial"/>
          <w:b/>
          <w:bCs/>
          <w:caps/>
          <w:color w:val="FF4B14"/>
          <w:sz w:val="24"/>
          <w:szCs w:val="24"/>
        </w:rPr>
        <w:t xml:space="preserve">HOOK:</w:t>
      </w:r>
    </w:p>
    <w:p>
      <w:pPr>
        <w:spacing w:after="120" w:before="0"/>
      </w:pPr>
      <w:r>
        <w:rPr>
          <w:rFonts w:ascii="Arial" w:cs="Arial" w:eastAsia="Arial" w:hAnsi="Arial"/>
          <w:sz w:val="24"/>
          <w:szCs w:val="24"/>
        </w:rPr>
        <w:t xml:space="preserve">“El mejor embudo del mundo no va a salvar una oferta mediocre.”</w:t>
      </w:r>
    </w:p>
    <w:p>
      <w:pPr>
        <w:spacing w:after="60" w:before="200"/>
      </w:pPr>
      <w:r>
        <w:rPr>
          <w:rFonts w:ascii="Arial" w:cs="Arial" w:eastAsia="Arial" w:hAnsi="Arial"/>
          <w:b/>
          <w:bCs/>
          <w:caps/>
          <w:color w:val="FF4B14"/>
          <w:sz w:val="24"/>
          <w:szCs w:val="24"/>
        </w:rPr>
        <w:t xml:space="preserve">CUERPO:</w:t>
      </w:r>
    </w:p>
    <w:p>
      <w:pPr>
        <w:spacing w:after="120" w:before="0"/>
      </w:pPr>
      <w:r>
        <w:rPr>
          <w:rFonts w:ascii="Arial" w:cs="Arial" w:eastAsia="Arial" w:hAnsi="Arial"/>
          <w:sz w:val="24"/>
          <w:szCs w:val="24"/>
        </w:rPr>
        <w:t xml:space="preserve">Mucha gente se obsesiona con la landing. Con el VSL. Con el pixel. Y a mí me pasaba exactamente eso: revisaba el copy, rehacía la página, cambiaba el botón de color. Y sí, todos son factores importantes, cada uno mueve la aguja. Pero hay algo que casi nadie valida antes de lanzar: si la oferta que nos dio el cliente de verdad es buena. Porque si la oferta es mediocre, el embudo perfecto solo logra que más gente te diga que no, más rápido.</w:t>
      </w:r>
    </w:p>
    <w:p>
      <w:pPr>
        <w:spacing w:after="60" w:before="200"/>
      </w:pPr>
      <w:r>
        <w:rPr>
          <w:rFonts w:ascii="Arial" w:cs="Arial" w:eastAsia="Arial" w:hAnsi="Arial"/>
          <w:b/>
          <w:bCs/>
          <w:caps/>
          <w:color w:val="FF4B14"/>
          <w:sz w:val="24"/>
          <w:szCs w:val="24"/>
        </w:rPr>
        <w:t xml:space="preserve">CTA:</w:t>
      </w:r>
    </w:p>
    <w:p>
      <w:pPr>
        <w:pBdr>
          <w:bottom w:val="single" w:color="CCCCCC" w:sz="4" w:space="4"/>
        </w:pBdr>
        <w:spacing w:after="200" w:before="0"/>
      </w:pPr>
      <w:r>
        <w:rPr>
          <w:rFonts w:ascii="Arial" w:cs="Arial" w:eastAsia="Arial" w:hAnsi="Arial"/>
          <w:sz w:val="24"/>
          <w:szCs w:val="24"/>
        </w:rPr>
        <w:t xml:space="preserve">Primero valida la oferta. Luego construye el embudo.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Serie de 5 videos · Meta Ads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2026-06-29T03:52:12.782Z</dcterms:created>
  <dcterms:modified xsi:type="dcterms:W3CDTF">2026-06-29T03:52:12.789Z</dcterms:modified>
</cp:coreProperties>
</file>

<file path=docProps/custom.xml><?xml version="1.0" encoding="utf-8"?>
<Properties xmlns="http://schemas.openxmlformats.org/officeDocument/2006/custom-properties" xmlns:vt="http://schemas.openxmlformats.org/officeDocument/2006/docPropsVTypes"/>
</file>