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B8862B"/>
          <w:sz w:val="20"/>
          <w:szCs w:val="20"/>
        </w:rPr>
        <w:t xml:space="preserve">Farkas Klára Könyvelőiroda – weboldal</w:t>
      </w:r>
    </w:p>
    <w:p>
      <w:pPr>
        <w:pStyle w:val="Title"/>
        <w:spacing w:after="120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Adatvédelmi tájékoztató és impresszum</w:t>
      </w:r>
    </w:p>
    <w:p>
      <w:pPr>
        <w:pBdr>
          <w:bottom w:val="single" w:color="B8862B" w:sz="6" w:space="6"/>
        </w:pBdr>
        <w:spacing w:after="240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Mit kell átnéznie, mit kell megadnia – és mivel nem kell foglalkoznia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Elkészítettük a weboldal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Adatkezelési tájékoztató</w:t>
      </w:r>
      <w:r>
        <w:rPr>
          <w:rFonts w:ascii="Calibri" w:cs="Calibri" w:eastAsia="Calibri" w:hAnsi="Calibri"/>
          <w:sz w:val="22"/>
          <w:szCs w:val="22"/>
        </w:rPr>
        <w:t xml:space="preserve"> és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Impresszum</w:t>
      </w:r>
      <w:r>
        <w:rPr>
          <w:rFonts w:ascii="Calibri" w:cs="Calibri" w:eastAsia="Calibri" w:hAnsi="Calibri"/>
          <w:sz w:val="22"/>
          <w:szCs w:val="22"/>
        </w:rPr>
        <w:t xml:space="preserve"> oldalát. A szövegek szerkezete és jogi tartalma kész; Önnek csak azokat a pontokat kell rendeznie, amelyeket kizárólag az iroda tud: a hivatalos cégadatokat, és azt, hogy a leírt gyakorlat megfelel-e a valóságnak.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Az átnézés várhatóan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15–20 percet</w:t>
      </w:r>
      <w:r>
        <w:rPr>
          <w:rFonts w:ascii="Calibri" w:cs="Calibri" w:eastAsia="Calibri" w:hAnsi="Calibri"/>
          <w:sz w:val="22"/>
          <w:szCs w:val="22"/>
        </w:rPr>
        <w:t xml:space="preserve"> vesz igénybe.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8862B" w:sz="24"/>
              <w:bottom w:val="none" w:color="FFFFFF" w:sz="0"/>
              <w:right w:val="none" w:color="FFFFFF" w:sz="0"/>
            </w:tcBorders>
            <w:shd w:fill="FBF6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4"/>
                <w:szCs w:val="24"/>
              </w:rPr>
              <w:t xml:space="preserve">Röviden</w:t>
            </w:r>
          </w:p>
          <w:p>
            <w:pPr>
              <w:spacing w:after="80" w:line="276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 Adatokat kell megadnia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– 9 hivatalos adat (cégnév, adószám stb.). Amíg ezek hiányoznak, az érintett sorok nem jelennek meg az oldalon. → 1. fejezet</w:t>
            </w:r>
          </w:p>
          <w:p>
            <w:pPr>
              <w:spacing w:after="80" w:line="276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2. Ellenőriznie kell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– 8 állítást az iroda működéséről (pl. meddig őrizzük az ajánlatkéréseket). Elég jelölnie, ha valami nem így van. → 2. fejezet</w:t>
            </w:r>
          </w:p>
          <w:p>
            <w:pPr>
              <w:spacing w:after="80" w:line="276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3. Döntenie kell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– egy kérdésben: legyen-e „Elfogadom” süti-ablak az oldalon. Javaslatunk: nem kell. → 4. fejezet</w:t>
            </w:r>
          </w:p>
          <w:p>
            <w:pPr>
              <w:spacing w:after="80" w:line="276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Minden mással nem kell foglalkoznia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– a jogszabályi hivatkozások, a jogok felsorolása, a hatósági adatok és a formázás a mi feladatunk. → 3. fejezet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1. Ezeket az adatokat kérjük megadni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Ezek az adatok jogszabály szerint kötelezőek az impresszumban, illetve az adatkezelési tájékoztatóban. Kérjük, a jobb oldali oszlopot töltse ki, vagy küldje el az adatokat e-mailben.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38"/>
      </w:tblGrid>
      <w:tr>
        <w:trPr>
          <w:tblHeader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Adat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Hol jelenik meg</w:t>
            </w:r>
          </w:p>
        </w:tc>
        <w:tc>
          <w:tcPr>
            <w:tcW w:type="dxa" w:w="42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Megadott érték</w:t>
            </w:r>
          </w:p>
        </w:tc>
      </w:tr>
      <w:t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Hivatalos cégnév, cégformával (pl. „… Kft.”)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Impresszum, adatkezelő</w:t>
            </w:r>
          </w:p>
        </w:tc>
        <w:tc>
          <w:tcPr>
            <w:tcW w:type="dxa" w:w="42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</w:p>
        </w:tc>
      </w:tr>
      <w:t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képviselő neve és tisztsége (pl. ügyvezető)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Impresszum</w:t>
            </w:r>
          </w:p>
        </w:tc>
        <w:tc>
          <w:tcPr>
            <w:tcW w:type="dxa" w:w="42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</w:p>
        </w:tc>
      </w:tr>
      <w:t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Cégjegyzékszám vagy nyilvántartási szám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Impresszum, adatkezelő</w:t>
            </w:r>
          </w:p>
        </w:tc>
        <w:tc>
          <w:tcPr>
            <w:tcW w:type="dxa" w:w="42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</w:p>
        </w:tc>
      </w:tr>
      <w:t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Nyilvántartó cégbíróság vagy hatóság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Impresszum</w:t>
            </w:r>
          </w:p>
        </w:tc>
        <w:tc>
          <w:tcPr>
            <w:tcW w:type="dxa" w:w="42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</w:p>
        </w:tc>
      </w:tr>
      <w:t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Adószám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Impresszum, adatkezelő</w:t>
            </w:r>
          </w:p>
        </w:tc>
        <w:tc>
          <w:tcPr>
            <w:tcW w:type="dxa" w:w="42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</w:p>
        </w:tc>
      </w:tr>
      <w:t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Könyvviteli szolgáltatás nyilvántartási száma (regisztrált könyvelő / iroda)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Impresszum</w:t>
            </w:r>
          </w:p>
        </w:tc>
        <w:tc>
          <w:tcPr>
            <w:tcW w:type="dxa" w:w="42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</w:p>
        </w:tc>
      </w:tr>
      <w:t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Adótanácsadói nyilvántartási szám – csak ha az iroda adótanácsadást is végez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Impresszum</w:t>
            </w:r>
          </w:p>
        </w:tc>
        <w:tc>
          <w:tcPr>
            <w:tcW w:type="dxa" w:w="42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</w:p>
        </w:tc>
      </w:tr>
      <w:t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 üzemelteti az iroda e-mail-fiókját (pl. Google Workspace, Microsoft 365, tárhelycég)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Adatkezelési tájékoztató</w:t>
            </w:r>
          </w:p>
        </w:tc>
        <w:tc>
          <w:tcPr>
            <w:tcW w:type="dxa" w:w="42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</w:p>
        </w:tc>
      </w:tr>
      <w:t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Tárhelyszolgáltató neve, címe, e-mail-címe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Impresszum, adatkezelési tájékoztató</w:t>
            </w:r>
          </w:p>
        </w:tc>
        <w:tc>
          <w:tcPr>
            <w:tcW w:type="dxa" w:w="42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 a tárhelyet mi intézzük, ezt mi töltjük ki.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2. Ezeket kérjük ellenőrizni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Az alábbi mondatok az iroda gyakorlatáról szólnak. Szakmailag szokásos megoldásokat írtunk le, de csak Ön tudja megerősíteni, hogy valóban így működnek.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Ha valami nem így van, elég jelölnie</w:t>
      </w:r>
      <w:r>
        <w:rPr>
          <w:rFonts w:ascii="Calibri" w:cs="Calibri" w:eastAsia="Calibri" w:hAnsi="Calibri"/>
          <w:sz w:val="22"/>
          <w:szCs w:val="22"/>
        </w:rPr>
        <w:t xml:space="preserve"> – a szöveget mi igazítjuk hozzá.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3700"/>
        <w:gridCol w:w="1638"/>
      </w:tblGrid>
      <w:tr>
        <w:trPr>
          <w:tblHeader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 állít az oldal</w:t>
            </w:r>
          </w:p>
        </w:tc>
        <w:tc>
          <w:tcPr>
            <w:tcW w:type="dxa" w:w="3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Kérdés Önnek</w:t>
            </w:r>
          </w:p>
        </w:tc>
        <w:tc>
          <w:tcPr>
            <w:tcW w:type="dxa" w:w="1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Rendben?</w:t>
            </w:r>
          </w:p>
        </w:tc>
      </w:tr>
      <w:t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 egy ajánlatkérésből nem lesz megbízás, az adatokat a lezárást követő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 évig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őrizzük.</w:t>
            </w:r>
          </w:p>
        </w:tc>
        <w:tc>
          <w:tcPr>
            <w:tcW w:type="dxa" w:w="3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Megfelel ez a gyakorlatnak, vagy rövidebb/hosszabb ideig tárolják?</w:t>
            </w:r>
          </w:p>
        </w:tc>
        <w:tc>
          <w:tcPr>
            <w:tcW w:type="dxa" w:w="1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igen   ☐ nem</w:t>
            </w:r>
          </w:p>
        </w:tc>
      </w:tr>
      <w:t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telefonos és e-mailes megkeresések adatait a lezárást követő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 évig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őrizzük.</w:t>
            </w:r>
          </w:p>
        </w:tc>
        <w:tc>
          <w:tcPr>
            <w:tcW w:type="dxa" w:w="3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Ugyanaz a kérdés.</w:t>
            </w:r>
          </w:p>
        </w:tc>
        <w:tc>
          <w:tcPr>
            <w:tcW w:type="dxa" w:w="1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igen   ☐ nem</w:t>
            </w:r>
          </w:p>
        </w:tc>
      </w:tr>
      <w:t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Megbízás esetén az ügyféladatokat a jogszabályok szerinti ideig, a számviteli bizonylatokat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legalább 8 évig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őrizzük.</w:t>
            </w:r>
          </w:p>
        </w:tc>
        <w:tc>
          <w:tcPr>
            <w:tcW w:type="dxa" w:w="3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Csak jelezze, ha belső szabályzatuk ettől eltér.</w:t>
            </w:r>
          </w:p>
        </w:tc>
        <w:tc>
          <w:tcPr>
            <w:tcW w:type="dxa" w:w="1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igen   ☐ nem</w:t>
            </w:r>
          </w:p>
        </w:tc>
      </w:tr>
      <w:t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Nem küldünk hírlevelet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és az adatokat nem adjuk át harmadik félnek értékesítési céllal.</w:t>
            </w:r>
          </w:p>
        </w:tc>
        <w:tc>
          <w:tcPr>
            <w:tcW w:type="dxa" w:w="3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Küld az iroda hírlevelet vagy körlevelet ügyfeleinek / érdeklődőknek?</w:t>
            </w:r>
          </w:p>
        </w:tc>
        <w:tc>
          <w:tcPr>
            <w:tcW w:type="dxa" w:w="1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igen   ☐ nem</w:t>
            </w:r>
          </w:p>
        </w:tc>
      </w:tr>
      <w:t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Az adatokhoz csak a feladatukhoz szükséges munkatársak férnek hozzá,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jelszóval védett rendszerekben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titoktartási kötelezettség mellett.</w:t>
            </w:r>
          </w:p>
        </w:tc>
        <w:tc>
          <w:tcPr>
            <w:tcW w:type="dxa" w:w="3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Igaz ez? (Pl. közös, jelszó nélküli gép nincs használatban.)</w:t>
            </w:r>
          </w:p>
        </w:tc>
        <w:tc>
          <w:tcPr>
            <w:tcW w:type="dxa" w:w="1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igen   ☐ nem</w:t>
            </w:r>
          </w:p>
        </w:tc>
      </w:tr>
      <w:t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Panaszt telefonon, e-mailben vagy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személyesen, előzetes időpont-egyeztetéssel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lehet tenni.</w:t>
            </w:r>
          </w:p>
        </w:tc>
        <w:tc>
          <w:tcPr>
            <w:tcW w:type="dxa" w:w="3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Így szeretnék fogadni a panaszokat?</w:t>
            </w:r>
          </w:p>
        </w:tc>
        <w:tc>
          <w:tcPr>
            <w:tcW w:type="dxa" w:w="1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igen   ☐ nem</w:t>
            </w:r>
          </w:p>
        </w:tc>
      </w:tr>
      <w:t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weboldal szakmai cikkei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általános tájékoztatásul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szolgálnak, nem helyettesítik az egyedi tanácsadást.</w:t>
            </w:r>
          </w:p>
        </w:tc>
        <w:tc>
          <w:tcPr>
            <w:tcW w:type="dxa" w:w="3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Egyetért ezzel a felelősségkorlátozó mondattal?</w:t>
            </w:r>
          </w:p>
        </w:tc>
        <w:tc>
          <w:tcPr>
            <w:tcW w:type="dxa" w:w="1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igen   ☐ nem</w:t>
            </w:r>
          </w:p>
        </w:tc>
      </w:tr>
      <w:t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tájékoztató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hatálybalépésének dátuma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Az élesítés napjára állítjuk be – teendője nincs, csak tudjon róla.</w:t>
            </w:r>
          </w:p>
        </w:tc>
        <w:tc>
          <w:tcPr>
            <w:tcW w:type="dxa" w:w="1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–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3. Ezekkel nem kell foglalkoznia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Az alábbi részek szabványos, jogszabályokból következő tartalmak, vagy a weboldal műszaki működéséről szólnak. Ezeket mi készítettük el és mi gondozzuk: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jogszabályi hivatkozások (GDPR, Infotv., elektronikus kereskedelmi törvény, számviteli törvény);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az érintettek jogainak felsorolása és a válaszadási határidők;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a Nemzeti Adatvédelmi és Információszabadság Hatóság (NAIH) elérhetőségei, jogorvoslati lehetőségek;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a weboldal technikai naplóinak és a Google-szolgáltatásoknak (térkép, betűtípus) a leírása;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adattovábbítás az EU-n kívülre, adatbiztonsági általános szöveg, szerzői jogi nyilatkozat;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az oldalak megjelenése, felépítése és tartalomjegyzéke.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EF2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4"/>
                <w:szCs w:val="24"/>
              </w:rPr>
              <w:t xml:space="preserve">Jogi átnézés</w:t>
            </w:r>
          </w:p>
          <w:p>
            <w:pPr>
              <w:spacing w:after="8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szövegeket gondosan, a hatályos jogszabályok alapján állítottuk össze, de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nem minősülnek jogi tanácsadásnak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Ha az irodának van jogi vagy adatvédelmi tanácsadója, javasoljuk, hogy élesítés előtt ő is olvassa át a két oldalt. Ehhez szívesen elküldjük a teljes szöveget külön dokumentumban.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4. Kell-e „Elfogadom” süti-ablak az oldalra?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8862B" w:sz="24"/>
              <w:bottom w:val="none" w:color="FFFFFF" w:sz="0"/>
              <w:right w:val="none" w:color="FFFFFF" w:sz="0"/>
            </w:tcBorders>
            <w:shd w:fill="FBF6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4"/>
                <w:szCs w:val="24"/>
              </w:rPr>
              <w:t xml:space="preserve">Válasz röviden: nem kell – ha elfogadja az alábbi két apró műszaki módosítást.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Mi a helyzet most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A weboldal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nem használ</w:t>
      </w:r>
      <w:r>
        <w:rPr>
          <w:rFonts w:ascii="Calibri" w:cs="Calibri" w:eastAsia="Calibri" w:hAnsi="Calibri"/>
          <w:sz w:val="22"/>
          <w:szCs w:val="22"/>
        </w:rPr>
        <w:t xml:space="preserve"> látogatottság-mérő (pl. Google Analytics), hirdetési (pl. Facebook-pixel) vagy egyéb követő sütit.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Egyetlen elem helyez el sütit: a beágyazott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Google térkép</w:t>
      </w:r>
      <w:r>
        <w:rPr>
          <w:rFonts w:ascii="Calibri" w:cs="Calibri" w:eastAsia="Calibri" w:hAnsi="Calibri"/>
          <w:sz w:val="22"/>
          <w:szCs w:val="22"/>
        </w:rPr>
        <w:t xml:space="preserve">. Ehhez jogszabály szerint a látogató előzetes hozzájárulása kellene – vagyis most egy süti-ablakra lenne szükség.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A betűtípusok jelenleg a Google szerveréről töltődnek be. Ez sütit nem helyez el, de a látogató IP-címét továbbítja a Google-nek, amit adatvédelmi szempontból érdemes elkerülni.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Javaslatunk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Térkép kattintásra:</w:t>
      </w:r>
      <w:r>
        <w:rPr>
          <w:rFonts w:ascii="Calibri" w:cs="Calibri" w:eastAsia="Calibri" w:hAnsi="Calibri"/>
          <w:sz w:val="22"/>
          <w:szCs w:val="22"/>
        </w:rPr>
        <w:t xml:space="preserve"> a térkép helyén egy „Térkép megjelenítése” gomb lesz; a Google csak akkor töltődik be, ha a látogató rákattint. A cím és az útvonaltervezés linkje továbbra is azonnal látszik.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Betűtípusok saját tárhelyről:</w:t>
      </w:r>
      <w:r>
        <w:rPr>
          <w:rFonts w:ascii="Calibri" w:cs="Calibri" w:eastAsia="Calibri" w:hAnsi="Calibri"/>
          <w:sz w:val="22"/>
          <w:szCs w:val="22"/>
        </w:rPr>
        <w:t xml:space="preserve"> a megjelenés nem változik, de a Google-hoz nem jut adat.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Így az oldal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süti-ablak nélkül is megfelel</w:t>
      </w:r>
      <w:r>
        <w:rPr>
          <w:rFonts w:ascii="Calibri" w:cs="Calibri" w:eastAsia="Calibri" w:hAnsi="Calibri"/>
          <w:sz w:val="22"/>
          <w:szCs w:val="22"/>
        </w:rPr>
        <w:t xml:space="preserve"> a szabályoknak, a látogatókat pedig nem zavarja felugró ablak – egy könyvelőiroda oldalán ez a bizalom szempontjából is előnyös.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Mikor lenne mégis szükség süti-ablakra?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Ha később bármelyik az alábbiak közül felkerül az oldalra, előtte süti-ablakot is beépítünk: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látogatottság-mérés (Google Analytics vagy hasonló);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Facebook-, Google- vagy egyéb hirdetéskövetés;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beágyazott YouTube-videó, chatablak, közösségimédia-beágyazás.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8862B" w:sz="24"/>
              <w:bottom w:val="none" w:color="FFFFFF" w:sz="0"/>
              <w:right w:val="none" w:color="FFFFFF" w:sz="0"/>
            </w:tcBorders>
            <w:shd w:fill="FBF6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4"/>
                <w:szCs w:val="24"/>
              </w:rPr>
              <w:t xml:space="preserve">Kérjük, jelölje döntését</w:t>
            </w:r>
          </w:p>
          <w:p>
            <w:pPr>
              <w:spacing w:after="8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Egyetértek a javaslattal: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térkép kattintásra, betűtípus saját tárhelyről, süti-ablak nincs.</w:t>
            </w:r>
          </w:p>
          <w:p>
            <w:pPr>
              <w:spacing w:after="8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Látogatottság-mérést is szeretnénk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(pl. Google Analytics) – ebben az esetben süti-ablakot építünk be.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Hogyan küldje vissza?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Elég, ha a kitöltött dokumentumot visszaküldi, vagy e-mailben megírja a hiányzó adatokat, a „nem” jelölésű pontokhoz egy-egy rövid megjegyzést és a süti-döntést. A beérkezett adatokkal a két oldalt véglegesítjük, és élesítés előtt még egyszer megmutatjuk.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Farkas Klára Könyvelőiroda – adatvédelem és impresszum   |  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</w:r>
    <w:r>
      <w:rPr>
        <w:rFonts w:ascii="Calibri" w:cs="Calibri" w:eastAsia="Calibri" w:hAnsi="Calibri"/>
        <w:color w:val="888888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88888"/>
        <w:sz w:val="16"/>
        <w:szCs w:val="16"/>
      </w:rPr>
      <w:fldChar w:fldCharType="separate"/>
    </w:r>
    <w:r>
      <w:rPr>
        <w:rFonts w:ascii="Calibri" w:cs="Calibri" w:eastAsia="Calibri" w:hAnsi="Calibri"/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Adatvédelmi tájékoztató és impresszum – átnézendő pontok</dc:title>
  <dc:creator>Spektra</dc:creator>
  <cp:lastModifiedBy>Un-named</cp:lastModifiedBy>
  <cp:revision>1</cp:revision>
  <dcterms:created xsi:type="dcterms:W3CDTF">2026-10-20T22:49:16.526Z</dcterms:created>
  <dcterms:modified xsi:type="dcterms:W3CDTF">2026-10-20T22:49:16.527Z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