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B15" w:rsidRDefault="006371E3">
      <w:r>
        <w:t>Insight2 Software Architecture</w:t>
      </w:r>
    </w:p>
    <w:p w:rsidR="00BA34E3" w:rsidRDefault="006371E3">
      <w:r>
        <w:t xml:space="preserve">It is expected that Insight parameter refinement will be run in an inner loop of an optimization algorithm designed to identify informative covariates, such as FitCons, and as a result, performance is important. </w:t>
      </w:r>
    </w:p>
    <w:p w:rsidR="00BA34E3" w:rsidRDefault="00BA34E3">
      <w:r>
        <w:t xml:space="preserve">The original algorithm employed a series of scripts to transform a genomic database and a BED file indicating the genomic positions of interest, into </w:t>
      </w:r>
      <w:proofErr w:type="spellStart"/>
      <w:proofErr w:type="gramStart"/>
      <w:r>
        <w:t>a</w:t>
      </w:r>
      <w:proofErr w:type="spellEnd"/>
      <w:proofErr w:type="gramEnd"/>
      <w:r>
        <w:t xml:space="preserve"> INS file that could be processed by the INSIGHT code. For a typical 10Mbase BED file, it would take 20 minutes for these scripts to generate the INS file, and another 5 minutes for INSIGHT to generate maximum likelihood values for the parameters. Thus 80% of runtime was dedicated to data preparation and 20% to numerical inference. Theoretical runtime should have been at least 1,000x faster and was dominated by the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DE6502">
        <w:t xml:space="preserve"> function needed to accumulate large </w:t>
      </w:r>
      <w:proofErr w:type="gramStart"/>
      <w:r w:rsidR="00DE6502">
        <w:t>number  of</w:t>
      </w:r>
      <w:proofErr w:type="gramEnd"/>
      <w:r w:rsidR="00DE6502">
        <w:t xml:space="preserve"> probabilities, without </w:t>
      </w:r>
      <w:proofErr w:type="spellStart"/>
      <w:r w:rsidR="00DE6502">
        <w:t>underflowing</w:t>
      </w:r>
      <w:proofErr w:type="spellEnd"/>
      <w:r w:rsidR="00DE6502">
        <w:t xml:space="preserve"> the efficient machine precision for floating point numbers.</w:t>
      </w:r>
    </w:p>
    <w:p w:rsidR="00DE6502" w:rsidRDefault="00DE6502" w:rsidP="00DE6502">
      <w:pPr>
        <w:rPr>
          <w:rFonts w:eastAsiaTheme="minorEastAsia"/>
        </w:rPr>
      </w:pPr>
      <w:r>
        <w:t>The original C++ version of the INSIGHT code (</w:t>
      </w:r>
      <w:r w:rsidR="00B77D42">
        <w:t xml:space="preserve">INSIGHT1, </w:t>
      </w:r>
      <w:proofErr w:type="spellStart"/>
      <w:r>
        <w:t>Ilan</w:t>
      </w:r>
      <w:proofErr w:type="spellEnd"/>
      <w:r>
        <w:t>) implemented an expectation maximization algorithm that was likely considered necessary due to the presence of latent variables, in particular the recent ancestral allele at each genomic position (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)</w:t>
      </w:r>
      <w:r>
        <w:t>. However, the imposition of the infinite sites model allowed a characterization of input data based on properties of the relationship between the deep ancestral allele (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>) and the observed distribution of human alleles (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). This characterization removed the explicit dependency on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allowed calculation of input data likelihood based directly from the model parameters. Once this was </w:t>
      </w:r>
      <w:r w:rsidR="00B77D42">
        <w:rPr>
          <w:rFonts w:eastAsiaTheme="minorEastAsia"/>
        </w:rPr>
        <w:t>available</w:t>
      </w:r>
      <w:r>
        <w:rPr>
          <w:rFonts w:eastAsiaTheme="minorEastAsia"/>
        </w:rPr>
        <w:t>, EM became unnecessary and EM inference of parameters was replaced with a bounded gradient descent search on likelihood surface.</w:t>
      </w:r>
    </w:p>
    <w:p w:rsidR="00DE6502" w:rsidRDefault="00DE6502">
      <w:r>
        <w:t xml:space="preserve">Reorganization of this code proceeded in </w:t>
      </w:r>
      <w:proofErr w:type="gramStart"/>
      <w:r w:rsidR="00B77D42">
        <w:t xml:space="preserve">five </w:t>
      </w:r>
      <w:r>
        <w:t xml:space="preserve"> phases</w:t>
      </w:r>
      <w:proofErr w:type="gramEnd"/>
    </w:p>
    <w:p w:rsidR="00DE6502" w:rsidRDefault="00DE6502" w:rsidP="00B77D42">
      <w:pPr>
        <w:pStyle w:val="ListParagraph"/>
        <w:numPr>
          <w:ilvl w:val="0"/>
          <w:numId w:val="10"/>
        </w:numPr>
      </w:pPr>
      <w:r>
        <w:t>Limiting data set to human reference values</w:t>
      </w:r>
    </w:p>
    <w:p w:rsidR="00DE6502" w:rsidRDefault="00DE6502" w:rsidP="00B77D42">
      <w:pPr>
        <w:pStyle w:val="ListParagraph"/>
        <w:numPr>
          <w:ilvl w:val="0"/>
          <w:numId w:val="10"/>
        </w:numPr>
      </w:pPr>
      <w:r>
        <w:t>Converting ASCII databases into a binary storage format</w:t>
      </w:r>
    </w:p>
    <w:p w:rsidR="00DE6502" w:rsidRDefault="00DE6502" w:rsidP="00B77D42">
      <w:pPr>
        <w:pStyle w:val="ListParagraph"/>
        <w:numPr>
          <w:ilvl w:val="0"/>
          <w:numId w:val="10"/>
        </w:numPr>
      </w:pPr>
      <w:r>
        <w:t>Improving efficiency and flexibility by replacing EM with direct Maximum likelihood inference using a bounded gradient-based method (</w:t>
      </w:r>
      <w:proofErr w:type="spellStart"/>
      <w:r>
        <w:t>lgbfs</w:t>
      </w:r>
      <w:proofErr w:type="spellEnd"/>
      <w:r>
        <w:t>). This also allowed the inclusion of weighted observations to accommodate mixture models.</w:t>
      </w:r>
    </w:p>
    <w:p w:rsidR="00B77D42" w:rsidRDefault="00DE6502" w:rsidP="00B77D42">
      <w:pPr>
        <w:pStyle w:val="ListParagraph"/>
        <w:numPr>
          <w:ilvl w:val="0"/>
          <w:numId w:val="10"/>
        </w:numPr>
      </w:pPr>
      <w:r>
        <w:t xml:space="preserve">Extending the code to incorporate priors and generate </w:t>
      </w:r>
    </w:p>
    <w:p w:rsidR="00B77D42" w:rsidRDefault="00B77D42" w:rsidP="00B77D42">
      <w:pPr>
        <w:pStyle w:val="ListParagraph"/>
        <w:numPr>
          <w:ilvl w:val="1"/>
          <w:numId w:val="10"/>
        </w:numPr>
      </w:pPr>
      <w:r>
        <w:t xml:space="preserve">maximum </w:t>
      </w:r>
      <w:proofErr w:type="spellStart"/>
      <w:r>
        <w:t>aposteriori</w:t>
      </w:r>
      <w:proofErr w:type="spellEnd"/>
      <w:r>
        <w:t xml:space="preserve"> probability estimates</w:t>
      </w:r>
      <w:r>
        <w:t xml:space="preserve"> for parameters</w:t>
      </w:r>
    </w:p>
    <w:p w:rsidR="00DE6502" w:rsidRDefault="00B77D42" w:rsidP="00B77D42">
      <w:pPr>
        <w:pStyle w:val="ListParagraph"/>
        <w:numPr>
          <w:ilvl w:val="1"/>
          <w:numId w:val="10"/>
        </w:numPr>
      </w:pPr>
      <w:r>
        <w:t xml:space="preserve">full </w:t>
      </w:r>
      <w:r w:rsidR="00DE6502">
        <w:t>posterior parameter distributions</w:t>
      </w:r>
    </w:p>
    <w:p w:rsidR="00B77D42" w:rsidRDefault="00B77D42" w:rsidP="00B77D42">
      <w:pPr>
        <w:pStyle w:val="ListParagraph"/>
        <w:numPr>
          <w:ilvl w:val="0"/>
          <w:numId w:val="10"/>
        </w:numPr>
      </w:pPr>
      <w:r>
        <w:t>Calculation of posterior probabili9ty estimates or each genomic position, including</w:t>
      </w:r>
    </w:p>
    <w:p w:rsidR="00B77D42" w:rsidRDefault="00B77D42" w:rsidP="00B77D42">
      <w:pPr>
        <w:pStyle w:val="ListParagraph"/>
        <w:numPr>
          <w:ilvl w:val="1"/>
          <w:numId w:val="10"/>
        </w:numPr>
      </w:pPr>
      <w:r>
        <w:t>Posterior estimates of selection classes and variables (S,A,W)</w:t>
      </w:r>
    </w:p>
    <w:p w:rsidR="00B77D42" w:rsidRDefault="00B77D42" w:rsidP="00B77D42">
      <w:pPr>
        <w:pStyle w:val="ListParagraph"/>
        <w:numPr>
          <w:ilvl w:val="1"/>
          <w:numId w:val="10"/>
        </w:numPr>
      </w:pPr>
      <w:r>
        <w:t>Posterior allele probabilities at each position</w:t>
      </w:r>
    </w:p>
    <w:p w:rsidR="00B77D42" w:rsidRDefault="00B77D42" w:rsidP="00B77D42">
      <w:pPr>
        <w:pStyle w:val="ListParagraph"/>
        <w:numPr>
          <w:ilvl w:val="1"/>
          <w:numId w:val="10"/>
        </w:numPr>
      </w:pPr>
      <w:r>
        <w:t>Counterfactual analysis of selection variables for each allele (experimental)</w:t>
      </w:r>
    </w:p>
    <w:p w:rsidR="00DE6502" w:rsidRDefault="00DE6502" w:rsidP="00DE6502">
      <w:pPr>
        <w:pStyle w:val="ListParagraph"/>
      </w:pPr>
    </w:p>
    <w:p w:rsidR="00DE6502" w:rsidRPr="00DE6502" w:rsidRDefault="00DE6502">
      <w:pPr>
        <w:rPr>
          <w:vertAlign w:val="superscript"/>
        </w:rPr>
      </w:pPr>
    </w:p>
    <w:p w:rsidR="00BA34E3" w:rsidRDefault="00DE6502">
      <w:r>
        <w:t>Phase 1: Limiting the data</w:t>
      </w:r>
    </w:p>
    <w:p w:rsidR="00B73758" w:rsidRDefault="00B73758">
      <w:r>
        <w:t xml:space="preserve">A complete input to the INSIGHT model requires </w:t>
      </w:r>
      <w:r w:rsidR="00B77D42">
        <w:t xml:space="preserve">consideration </w:t>
      </w:r>
      <w:proofErr w:type="gramStart"/>
      <w:r w:rsidR="00B77D42">
        <w:t>of :</w:t>
      </w:r>
      <w:proofErr w:type="gramEnd"/>
    </w:p>
    <w:p w:rsidR="00B73758" w:rsidRDefault="00B73758" w:rsidP="0042049F">
      <w:pPr>
        <w:pStyle w:val="ListParagraph"/>
        <w:numPr>
          <w:ilvl w:val="0"/>
          <w:numId w:val="2"/>
        </w:numPr>
      </w:pPr>
      <w:r>
        <w:lastRenderedPageBreak/>
        <w:t>Set of neutral polymorphic positions</w:t>
      </w:r>
      <w:r w:rsidR="0042049F">
        <w:t>.</w:t>
      </w:r>
    </w:p>
    <w:p w:rsidR="00B73758" w:rsidRDefault="00B73758" w:rsidP="0042049F">
      <w:pPr>
        <w:pStyle w:val="ListParagraph"/>
        <w:numPr>
          <w:ilvl w:val="0"/>
          <w:numId w:val="2"/>
        </w:numPr>
      </w:pPr>
      <w:r>
        <w:t>A non-overlapping near partition of the genome into Blocks (~5Kbp</w:t>
      </w:r>
      <w:r w:rsidR="0042049F">
        <w:t xml:space="preserve">, </w:t>
      </w:r>
      <w:proofErr w:type="gramStart"/>
      <w:r w:rsidR="0042049F">
        <w:t xml:space="preserve">contiguous </w:t>
      </w:r>
      <w:r>
        <w:t>)</w:t>
      </w:r>
      <w:proofErr w:type="gramEnd"/>
      <w:r>
        <w:t xml:space="preserve"> of </w:t>
      </w:r>
      <w:r w:rsidR="0042049F">
        <w:t>similarly evolving genomic positions.</w:t>
      </w:r>
    </w:p>
    <w:p w:rsidR="0042049F" w:rsidRPr="0042049F" w:rsidRDefault="0042049F" w:rsidP="0042049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An estimate of mean divergence rate (</w:t>
      </w:r>
      <m:oMath>
        <m:r>
          <w:rPr>
            <w:rFonts w:ascii="Cambria Math" w:hAnsi="Cambria Math"/>
          </w:rPr>
          <m:t>λt</m:t>
        </m:r>
      </m:oMath>
      <w:r w:rsidRPr="0042049F">
        <w:rPr>
          <w:rFonts w:eastAsiaTheme="minorEastAsia"/>
        </w:rPr>
        <w:t>) for each block.</w:t>
      </w:r>
    </w:p>
    <w:p w:rsidR="0042049F" w:rsidRPr="0042049F" w:rsidRDefault="0042049F" w:rsidP="0042049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2049F">
        <w:rPr>
          <w:rFonts w:eastAsiaTheme="minorEastAsia"/>
        </w:rPr>
        <w:t>An expected distribution of deep ancestral alleles (</w:t>
      </w:r>
      <m:oMath>
        <m:r>
          <w:rPr>
            <w:rFonts w:ascii="Cambria Math" w:eastAsiaTheme="minorEastAsia" w:hAnsi="Cambria Math"/>
          </w:rPr>
          <m:t>Z</m:t>
        </m:r>
      </m:oMath>
      <w:r w:rsidRPr="0042049F">
        <w:rPr>
          <w:rFonts w:eastAsiaTheme="minorEastAsia"/>
        </w:rPr>
        <w:t>)</w:t>
      </w:r>
      <w:r w:rsidR="00EF5B27">
        <w:rPr>
          <w:rFonts w:eastAsiaTheme="minorEastAsia"/>
        </w:rPr>
        <w:t xml:space="preserve"> </w:t>
      </w:r>
      <w:r w:rsidRPr="0042049F">
        <w:rPr>
          <w:rFonts w:eastAsiaTheme="minorEastAsia"/>
        </w:rPr>
        <w:t>over nucleotides A</w:t>
      </w:r>
      <w:proofErr w:type="gramStart"/>
      <w:r w:rsidRPr="0042049F">
        <w:rPr>
          <w:rFonts w:eastAsiaTheme="minorEastAsia"/>
        </w:rPr>
        <w:t>,C,G,T</w:t>
      </w:r>
      <w:proofErr w:type="gramEnd"/>
      <w:r w:rsidRPr="0042049F">
        <w:rPr>
          <w:rFonts w:eastAsiaTheme="minorEastAsia"/>
        </w:rPr>
        <w:t xml:space="preserve"> at each genomic position.</w:t>
      </w:r>
    </w:p>
    <w:p w:rsidR="0042049F" w:rsidRPr="0042049F" w:rsidRDefault="0042049F" w:rsidP="0042049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2049F">
        <w:rPr>
          <w:rFonts w:eastAsiaTheme="minorEastAsia"/>
        </w:rPr>
        <w:t>A prior distribution of proximal ancestral alleles (</w:t>
      </w:r>
      <m:oMath>
        <m:r>
          <w:rPr>
            <w:rFonts w:ascii="Cambria Math" w:eastAsiaTheme="minorEastAsia" w:hAnsi="Cambria Math"/>
          </w:rPr>
          <m:t>A</m:t>
        </m:r>
      </m:oMath>
      <w:r w:rsidRPr="0042049F">
        <w:rPr>
          <w:rFonts w:eastAsiaTheme="minorEastAsia"/>
        </w:rPr>
        <w:t>) over nucleotides A</w:t>
      </w:r>
      <w:proofErr w:type="gramStart"/>
      <w:r w:rsidRPr="0042049F">
        <w:rPr>
          <w:rFonts w:eastAsiaTheme="minorEastAsia"/>
        </w:rPr>
        <w:t>,C,G,T</w:t>
      </w:r>
      <w:proofErr w:type="gramEnd"/>
      <w:r w:rsidRPr="0042049F">
        <w:rPr>
          <w:rFonts w:eastAsiaTheme="minorEastAsia"/>
        </w:rPr>
        <w:t xml:space="preserve"> at each genomic position.</w:t>
      </w:r>
    </w:p>
    <w:p w:rsidR="0042049F" w:rsidRPr="0042049F" w:rsidRDefault="0042049F" w:rsidP="0042049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2049F">
        <w:rPr>
          <w:rFonts w:eastAsiaTheme="minorEastAsia"/>
        </w:rPr>
        <w:t>Observed human allele frequencies (</w:t>
      </w:r>
      <m:oMath>
        <m:r>
          <w:rPr>
            <w:rFonts w:ascii="Cambria Math" w:eastAsiaTheme="minorEastAsia" w:hAnsi="Cambria Math"/>
          </w:rPr>
          <m:t>X</m:t>
        </m:r>
      </m:oMath>
      <w:r w:rsidRPr="0042049F">
        <w:rPr>
          <w:rFonts w:eastAsiaTheme="minorEastAsia"/>
        </w:rPr>
        <w:t>) over A</w:t>
      </w:r>
      <w:proofErr w:type="gramStart"/>
      <w:r w:rsidRPr="0042049F">
        <w:rPr>
          <w:rFonts w:eastAsiaTheme="minorEastAsia"/>
        </w:rPr>
        <w:t>,C,G,T</w:t>
      </w:r>
      <w:proofErr w:type="gramEnd"/>
      <w:r w:rsidRPr="0042049F">
        <w:rPr>
          <w:rFonts w:eastAsiaTheme="minorEastAsia"/>
        </w:rPr>
        <w:t xml:space="preserve"> at each genomic position.</w:t>
      </w:r>
    </w:p>
    <w:p w:rsidR="0042049F" w:rsidRPr="0042049F" w:rsidRDefault="0042049F" w:rsidP="0042049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2049F">
        <w:rPr>
          <w:rFonts w:eastAsiaTheme="minorEastAsia"/>
        </w:rPr>
        <w:t xml:space="preserve">Model 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42049F">
        <w:rPr>
          <w:rFonts w:eastAsiaTheme="minorEastAsia"/>
        </w:rPr>
        <w:t xml:space="preserve">  and block parameter </w:t>
      </w:r>
      <m:oMath>
        <m:r>
          <w:rPr>
            <w:rFonts w:ascii="Cambria Math" w:eastAsiaTheme="minorEastAsia" w:hAnsi="Cambria Math"/>
          </w:rPr>
          <m:t>θ</m:t>
        </m:r>
      </m:oMath>
      <w:r w:rsidRPr="0042049F">
        <w:rPr>
          <w:rFonts w:eastAsiaTheme="minorEastAsia"/>
        </w:rPr>
        <w:t xml:space="preserve"> can be estimated from these </w:t>
      </w:r>
    </w:p>
    <w:p w:rsidR="00EF5B27" w:rsidRDefault="00EF5B27" w:rsidP="0042049F">
      <w:pPr>
        <w:rPr>
          <w:rFonts w:eastAsiaTheme="minorEastAsia"/>
        </w:rPr>
      </w:pPr>
      <w:r>
        <w:rPr>
          <w:rFonts w:eastAsiaTheme="minorEastAsia"/>
        </w:rPr>
        <w:t xml:space="preserve">This would require approximately 12 values per genomic position (4 for each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) making the database on the order of 3billion positions * 12 values/position = 36 billion values. At </w:t>
      </w:r>
      <w:r w:rsidR="00423AED">
        <w:rPr>
          <w:rFonts w:eastAsiaTheme="minorEastAsia"/>
        </w:rPr>
        <w:t xml:space="preserve">a naive 8 </w:t>
      </w:r>
      <w:r>
        <w:rPr>
          <w:rFonts w:eastAsiaTheme="minorEastAsia"/>
        </w:rPr>
        <w:t>b</w:t>
      </w:r>
      <w:r w:rsidR="00423AED">
        <w:rPr>
          <w:rFonts w:eastAsiaTheme="minorEastAsia"/>
        </w:rPr>
        <w:t>y</w:t>
      </w:r>
      <w:r>
        <w:rPr>
          <w:rFonts w:eastAsiaTheme="minorEastAsia"/>
        </w:rPr>
        <w:t xml:space="preserve">tes per </w:t>
      </w:r>
      <w:r w:rsidR="00423AED">
        <w:rPr>
          <w:rFonts w:eastAsiaTheme="minorEastAsia"/>
        </w:rPr>
        <w:t xml:space="preserve">double precision value </w:t>
      </w:r>
      <w:r>
        <w:rPr>
          <w:rFonts w:eastAsiaTheme="minorEastAsia"/>
        </w:rPr>
        <w:t xml:space="preserve">this </w:t>
      </w:r>
      <w:r w:rsidR="00423AED">
        <w:rPr>
          <w:rFonts w:eastAsiaTheme="minorEastAsia"/>
        </w:rPr>
        <w:t>would be 288</w:t>
      </w:r>
      <w:r>
        <w:rPr>
          <w:rFonts w:eastAsiaTheme="minorEastAsia"/>
        </w:rPr>
        <w:t>GBytes</w:t>
      </w:r>
      <w:r w:rsidR="00423AED">
        <w:rPr>
          <w:rFonts w:eastAsiaTheme="minorEastAsia"/>
        </w:rPr>
        <w:t>. Even with a more efficient encoding of 2 bytes per value this is 72GB</w:t>
      </w:r>
      <w:r>
        <w:rPr>
          <w:rFonts w:eastAsiaTheme="minorEastAsia"/>
        </w:rPr>
        <w:t>, too large to conveniently fit in memory for commonly available servers in 2015, and slow to load from external storage.</w:t>
      </w:r>
      <w:r w:rsidR="00423AED">
        <w:rPr>
          <w:rFonts w:eastAsiaTheme="minorEastAsia"/>
        </w:rPr>
        <w:t xml:space="preserve"> </w:t>
      </w:r>
    </w:p>
    <w:p w:rsidR="00EF5B27" w:rsidRDefault="00EF5B27" w:rsidP="0042049F">
      <w:pPr>
        <w:rPr>
          <w:rFonts w:eastAsiaTheme="minorEastAsia"/>
        </w:rPr>
      </w:pPr>
      <w:r>
        <w:rPr>
          <w:rFonts w:eastAsiaTheme="minorEastAsia"/>
        </w:rPr>
        <w:t xml:space="preserve">To accelerate this </w:t>
      </w:r>
      <w:r w:rsidR="00423AED">
        <w:rPr>
          <w:rFonts w:eastAsiaTheme="minorEastAsia"/>
        </w:rPr>
        <w:t>computation</w:t>
      </w:r>
      <w:r>
        <w:rPr>
          <w:rFonts w:eastAsiaTheme="minorEastAsia"/>
        </w:rPr>
        <w:t>, the database size is reduced to &lt; 5GB of memory so it can be loaded into main memory and accessed rapidly when accessed in order of increasing genomic positions.</w:t>
      </w:r>
      <w:r w:rsidR="00423AED">
        <w:rPr>
          <w:rFonts w:eastAsiaTheme="minorEastAsia"/>
        </w:rPr>
        <w:t xml:space="preserve"> The following steps provide this preprocessing.</w:t>
      </w:r>
    </w:p>
    <w:p w:rsidR="00EF5B27" w:rsidRDefault="00EF5B27" w:rsidP="0042049F">
      <w:pPr>
        <w:rPr>
          <w:rFonts w:eastAsiaTheme="minorEastAsia"/>
        </w:rPr>
      </w:pPr>
      <w:r>
        <w:rPr>
          <w:rFonts w:eastAsiaTheme="minorEastAsia"/>
        </w:rPr>
        <w:t>T</w:t>
      </w:r>
      <w:r w:rsidR="0042049F">
        <w:rPr>
          <w:rFonts w:eastAsiaTheme="minorEastAsia"/>
        </w:rPr>
        <w:t xml:space="preserve">he block structure (2) and set of neutral polymorphic sites (1) are for the human data set based on the </w:t>
      </w:r>
      <w:r>
        <w:rPr>
          <w:rFonts w:eastAsiaTheme="minorEastAsia"/>
        </w:rPr>
        <w:t xml:space="preserve">human reference </w:t>
      </w:r>
      <w:r w:rsidR="0042049F">
        <w:rPr>
          <w:rFonts w:eastAsiaTheme="minorEastAsia"/>
        </w:rPr>
        <w:t>HG19 and variation in the Complete Genomics set of 54 unrelated individuals.</w:t>
      </w:r>
    </w:p>
    <w:p w:rsidR="0042049F" w:rsidRDefault="0042049F" w:rsidP="0042049F">
      <w:pPr>
        <w:rPr>
          <w:rFonts w:eastAsiaTheme="minorEastAsia"/>
        </w:rPr>
      </w:pPr>
      <w:proofErr w:type="spellStart"/>
      <w:r>
        <w:rPr>
          <w:rFonts w:eastAsiaTheme="minorEastAsia"/>
        </w:rPr>
        <w:t>Polyfen</w:t>
      </w:r>
      <w:proofErr w:type="spellEnd"/>
      <w:r>
        <w:rPr>
          <w:rFonts w:eastAsiaTheme="minorEastAsia"/>
        </w:rPr>
        <w:t xml:space="preserve"> (?) is then used to estimate </w:t>
      </w:r>
      <m:oMath>
        <m:r>
          <w:rPr>
            <w:rFonts w:ascii="Cambria Math" w:eastAsiaTheme="minorEastAsia" w:hAnsi="Cambria Math"/>
          </w:rPr>
          <m:t>λt</m:t>
        </m:r>
      </m:oMath>
      <w:r w:rsidR="00EF5B27">
        <w:rPr>
          <w:rFonts w:eastAsiaTheme="minorEastAsia"/>
        </w:rPr>
        <w:t xml:space="preserve"> </w:t>
      </w:r>
      <w:r>
        <w:rPr>
          <w:rFonts w:eastAsiaTheme="minorEastAsia"/>
        </w:rPr>
        <w:t>for each block</w:t>
      </w:r>
      <w:r w:rsidR="00EF5B27">
        <w:rPr>
          <w:rFonts w:eastAsiaTheme="minorEastAsia"/>
        </w:rPr>
        <w:t xml:space="preserve"> (3) and the distribution over </w:t>
      </w:r>
      <m:oMath>
        <m:r>
          <w:rPr>
            <w:rFonts w:ascii="Cambria Math" w:eastAsiaTheme="minorEastAsia" w:hAnsi="Cambria Math"/>
          </w:rPr>
          <m:t>Z</m:t>
        </m:r>
      </m:oMath>
      <w:r w:rsidR="00EF5B27">
        <w:rPr>
          <w:rFonts w:eastAsiaTheme="minorEastAsia"/>
        </w:rPr>
        <w:t xml:space="preserve"> (4) for each genomic position</w:t>
      </w:r>
      <w:r>
        <w:rPr>
          <w:rFonts w:eastAsiaTheme="minorEastAsia"/>
        </w:rPr>
        <w:t xml:space="preserve">, based on </w:t>
      </w:r>
      <w:r w:rsidR="00EF5B27">
        <w:rPr>
          <w:rFonts w:eastAsiaTheme="minorEastAsia"/>
        </w:rPr>
        <w:t>alignments</w:t>
      </w:r>
      <w:r>
        <w:rPr>
          <w:rFonts w:eastAsiaTheme="minorEastAsia"/>
        </w:rPr>
        <w:t xml:space="preserve"> of </w:t>
      </w:r>
      <w:r w:rsidR="00EF5B27">
        <w:rPr>
          <w:rFonts w:eastAsiaTheme="minorEastAsia"/>
        </w:rPr>
        <w:t xml:space="preserve">the reference genomes of </w:t>
      </w:r>
      <w:r>
        <w:rPr>
          <w:rFonts w:eastAsiaTheme="minorEastAsia"/>
        </w:rPr>
        <w:t>chimpanzee (</w:t>
      </w:r>
      <w:proofErr w:type="spellStart"/>
      <w:r>
        <w:rPr>
          <w:rFonts w:eastAsiaTheme="minorEastAsia"/>
        </w:rPr>
        <w:t>PanTro</w:t>
      </w:r>
      <w:proofErr w:type="spellEnd"/>
      <w:r>
        <w:rPr>
          <w:rFonts w:eastAsiaTheme="minorEastAsia"/>
        </w:rPr>
        <w:t>)</w:t>
      </w:r>
      <w:r w:rsidR="00EF5B27">
        <w:rPr>
          <w:rFonts w:eastAsiaTheme="minorEastAsia"/>
        </w:rPr>
        <w:t>, o</w:t>
      </w:r>
      <w:r>
        <w:rPr>
          <w:rFonts w:eastAsiaTheme="minorEastAsia"/>
        </w:rPr>
        <w:t>rangutan (</w:t>
      </w:r>
      <w:proofErr w:type="spellStart"/>
      <w:r>
        <w:rPr>
          <w:rFonts w:eastAsiaTheme="minorEastAsia"/>
        </w:rPr>
        <w:t>PonAbe</w:t>
      </w:r>
      <w:proofErr w:type="spellEnd"/>
      <w:r>
        <w:rPr>
          <w:rFonts w:eastAsiaTheme="minorEastAsia"/>
        </w:rPr>
        <w:t xml:space="preserve">) and Rhesus Macaque </w:t>
      </w:r>
      <w:r w:rsidR="00EF5B27">
        <w:rPr>
          <w:rFonts w:eastAsiaTheme="minorEastAsia"/>
        </w:rPr>
        <w:t>(</w:t>
      </w:r>
      <w:proofErr w:type="spellStart"/>
      <w:r w:rsidR="00EF5B27">
        <w:rPr>
          <w:rFonts w:eastAsiaTheme="minorEastAsia"/>
        </w:rPr>
        <w:t>RheMaq</w:t>
      </w:r>
      <w:proofErr w:type="spellEnd"/>
      <w:r w:rsidR="00EF5B27">
        <w:rPr>
          <w:rFonts w:eastAsiaTheme="minorEastAsia"/>
        </w:rPr>
        <w:t>) to the human reference.</w:t>
      </w:r>
    </w:p>
    <w:p w:rsidR="00EF5B27" w:rsidRDefault="00EF5B27" w:rsidP="0042049F">
      <w:pPr>
        <w:rPr>
          <w:rFonts w:eastAsiaTheme="minorEastAsia"/>
        </w:rPr>
      </w:pPr>
      <w:r>
        <w:rPr>
          <w:rFonts w:eastAsiaTheme="minorEastAsia"/>
        </w:rPr>
        <w:t xml:space="preserve">The infinite sites assumption is applied to decedents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from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Therefore any site with more than 2 </w:t>
      </w:r>
      <w:r w:rsidR="002E657C">
        <w:rPr>
          <w:rFonts w:eastAsiaTheme="minorEastAsia"/>
        </w:rPr>
        <w:t xml:space="preserve">different </w:t>
      </w:r>
      <w:r>
        <w:rPr>
          <w:rFonts w:eastAsiaTheme="minorEastAsia"/>
        </w:rPr>
        <w:t xml:space="preserve">alleles is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excluded from analysis. </w:t>
      </w:r>
      <w:r w:rsidR="00423AED">
        <w:rPr>
          <w:rFonts w:eastAsiaTheme="minorEastAsia"/>
        </w:rPr>
        <w:t xml:space="preserve"> This reduces the relationship </w:t>
      </w:r>
      <w:proofErr w:type="gramStart"/>
      <w:r w:rsidR="00423AED">
        <w:rPr>
          <w:rFonts w:eastAsiaTheme="minorEastAsia"/>
        </w:rPr>
        <w:t xml:space="preserve">between </w:t>
      </w:r>
      <w:proofErr w:type="gramEnd"/>
      <m:oMath>
        <m:r>
          <w:rPr>
            <w:rFonts w:ascii="Cambria Math" w:eastAsiaTheme="minorEastAsia" w:hAnsi="Cambria Math"/>
          </w:rPr>
          <m:t>Z</m:t>
        </m:r>
      </m:oMath>
      <w:r w:rsidR="00423AE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 w:rsidR="00423AED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X</m:t>
        </m:r>
      </m:oMath>
      <w:r w:rsidR="00423AED">
        <w:rPr>
          <w:rFonts w:eastAsiaTheme="minorEastAsia"/>
        </w:rPr>
        <w:t xml:space="preserve"> to two properties that are sufficient for data likelihood calculation under INSIGHT</w:t>
      </w:r>
      <w:r w:rsidR="002E657C">
        <w:rPr>
          <w:rFonts w:eastAsiaTheme="minorEastAsia"/>
        </w:rPr>
        <w:t xml:space="preserve"> (Table3)</w:t>
      </w:r>
      <w:r w:rsidR="00423AED">
        <w:rPr>
          <w:rFonts w:eastAsiaTheme="minorEastAsia"/>
        </w:rPr>
        <w:t>:</w:t>
      </w:r>
    </w:p>
    <w:p w:rsidR="00423AED" w:rsidRDefault="00423AED" w:rsidP="00423AED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SelectionClass</w:t>
      </w:r>
      <w:proofErr w:type="spellEnd"/>
      <w:r>
        <w:rPr>
          <w:rFonts w:eastAsiaTheme="minorEastAsia"/>
        </w:rPr>
        <w:t xml:space="preserve"> (approximation to the site frequency spectrum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): </w:t>
      </w:r>
    </w:p>
    <w:p w:rsidR="00423AED" w:rsidRPr="00423AED" w:rsidRDefault="00423AED" w:rsidP="00423AE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23AED">
        <w:rPr>
          <w:rFonts w:eastAsiaTheme="minorEastAsia"/>
        </w:rPr>
        <w:t>Monomorphic (Mono or M),</w:t>
      </w:r>
    </w:p>
    <w:p w:rsidR="00423AED" w:rsidRPr="00423AED" w:rsidRDefault="00423AED" w:rsidP="00423AE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23AED">
        <w:rPr>
          <w:rFonts w:eastAsiaTheme="minorEastAsia"/>
        </w:rPr>
        <w:t>Polymorphic at Low Frequency (MAF&lt;=15%) (</w:t>
      </w:r>
      <w:proofErr w:type="spellStart"/>
      <w:r w:rsidRPr="00423AED">
        <w:rPr>
          <w:rFonts w:eastAsiaTheme="minorEastAsia"/>
        </w:rPr>
        <w:t>PolyL</w:t>
      </w:r>
      <w:proofErr w:type="spellEnd"/>
      <w:r w:rsidRPr="00423AED">
        <w:rPr>
          <w:rFonts w:eastAsiaTheme="minorEastAsia"/>
        </w:rPr>
        <w:t xml:space="preserve"> or L) </w:t>
      </w:r>
    </w:p>
    <w:p w:rsidR="00423AED" w:rsidRPr="00423AED" w:rsidRDefault="00423AED" w:rsidP="00423AE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23AED">
        <w:rPr>
          <w:rFonts w:eastAsiaTheme="minorEastAsia"/>
        </w:rPr>
        <w:t>Polymorphic at High Frequency (MAF&gt;15%) (</w:t>
      </w:r>
      <w:proofErr w:type="spellStart"/>
      <w:r w:rsidRPr="00423AED">
        <w:rPr>
          <w:rFonts w:eastAsiaTheme="minorEastAsia"/>
        </w:rPr>
        <w:t>PolyH</w:t>
      </w:r>
      <w:proofErr w:type="spellEnd"/>
      <w:r w:rsidRPr="00423AED">
        <w:rPr>
          <w:rFonts w:eastAsiaTheme="minorEastAsia"/>
        </w:rPr>
        <w:t xml:space="preserve"> or H)</w:t>
      </w:r>
    </w:p>
    <w:p w:rsidR="00423AED" w:rsidRDefault="00423AED" w:rsidP="00423AED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AncestralAllele</w:t>
      </w:r>
      <w:proofErr w:type="spellEnd"/>
      <w:r>
        <w:rPr>
          <w:rFonts w:eastAsiaTheme="minorEastAsia"/>
        </w:rPr>
        <w:t>:</w:t>
      </w:r>
    </w:p>
    <w:p w:rsidR="00423AED" w:rsidRPr="00423AED" w:rsidRDefault="00423AED" w:rsidP="00423AE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=Maj</m:t>
            </m:r>
            <m:r>
              <w:rPr>
                <w:rFonts w:ascii="Cambria Math" w:eastAsiaTheme="minorEastAsia" w:hAnsi="Cambria Math"/>
              </w:rPr>
              <m:t>orAllele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423AED">
        <w:rPr>
          <w:rFonts w:eastAsiaTheme="minorEastAsia"/>
        </w:rPr>
        <w:t xml:space="preserve">  [</w:t>
      </w:r>
      <w:proofErr w:type="spellStart"/>
      <w:r w:rsidRPr="00423AED">
        <w:rPr>
          <w:rFonts w:eastAsiaTheme="minorEastAsia"/>
        </w:rPr>
        <w:t>ZeqXmaj</w:t>
      </w:r>
      <w:proofErr w:type="spellEnd"/>
      <w:r w:rsidRPr="00423AED">
        <w:rPr>
          <w:rFonts w:eastAsiaTheme="minorEastAsia"/>
        </w:rPr>
        <w:t>],</w:t>
      </w:r>
    </w:p>
    <w:p w:rsidR="00423AED" w:rsidRPr="00423AED" w:rsidRDefault="00423AED" w:rsidP="00423AE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=MinorAllele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423AED">
        <w:rPr>
          <w:rFonts w:eastAsiaTheme="minorEastAsia"/>
        </w:rPr>
        <w:t xml:space="preserve"> [ZeqXmin],</w:t>
      </w:r>
    </w:p>
    <w:p w:rsidR="00423AED" w:rsidRPr="00423AED" w:rsidRDefault="00423AED" w:rsidP="00423AE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∉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MajorAllele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,MinorAllele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Pr="00423AED">
        <w:rPr>
          <w:rFonts w:eastAsiaTheme="minorEastAsia"/>
        </w:rPr>
        <w:t xml:space="preserve"> [</w:t>
      </w:r>
      <w:proofErr w:type="spellStart"/>
      <w:r w:rsidRPr="00423AED">
        <w:rPr>
          <w:rFonts w:eastAsiaTheme="minorEastAsia"/>
        </w:rPr>
        <w:t>ZeqX</w:t>
      </w:r>
      <w:r w:rsidR="002E657C">
        <w:rPr>
          <w:rFonts w:eastAsiaTheme="minorEastAsia"/>
        </w:rPr>
        <w:t>o</w:t>
      </w:r>
      <w:r w:rsidRPr="00423AED">
        <w:rPr>
          <w:rFonts w:eastAsiaTheme="minorEastAsia"/>
        </w:rPr>
        <w:t>th</w:t>
      </w:r>
      <w:proofErr w:type="spellEnd"/>
      <w:r w:rsidRPr="00423AED">
        <w:rPr>
          <w:rFonts w:eastAsiaTheme="minorEastAsia"/>
        </w:rPr>
        <w:t>].</w:t>
      </w:r>
    </w:p>
    <w:p w:rsidR="0042049F" w:rsidRDefault="002E657C">
      <w:pPr>
        <w:rPr>
          <w:rFonts w:eastAsiaTheme="minorEastAsia"/>
        </w:rPr>
      </w:pPr>
      <w:r>
        <w:rPr>
          <w:rFonts w:eastAsiaTheme="minorEastAsia"/>
        </w:rPr>
        <w:t>These sufficient properties reduce the number of values per position to a maximum of 2, a selection class, and two probability values. As each block requires only two additional values (</w:t>
      </w:r>
      <m:oMath>
        <m:r>
          <w:rPr>
            <w:rFonts w:ascii="Cambria Math" w:eastAsiaTheme="minorEastAsia" w:hAnsi="Cambria Math"/>
          </w:rPr>
          <m:t>λt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) to </w:t>
      </w:r>
      <w:r>
        <w:rPr>
          <w:rFonts w:eastAsiaTheme="minorEastAsia"/>
        </w:rPr>
        <w:lastRenderedPageBreak/>
        <w:t>represent each 5000 positions, the additional memory overhead is three orders of magnitude smaller, so is neglected.</w:t>
      </w:r>
    </w:p>
    <w:p w:rsidR="002E657C" w:rsidRDefault="002E657C">
      <w:pPr>
        <w:rPr>
          <w:rFonts w:eastAsiaTheme="minorEastAsia"/>
        </w:rPr>
      </w:pPr>
      <w:r>
        <w:rPr>
          <w:rFonts w:eastAsiaTheme="minorEastAsia"/>
        </w:rPr>
        <w:t xml:space="preserve">As polymorphic sites are relatively rare (1/1000 the number of monomorphic sites), and monomorphic sites have no minor allele, this reduces the typical data storage requirement for a site to that of a single monomorphic site:  2 bits for the selection class, and a single double precision </w:t>
      </w:r>
      <w:proofErr w:type="gramStart"/>
      <w:r>
        <w:rPr>
          <w:rFonts w:eastAsiaTheme="minorEastAsia"/>
        </w:rPr>
        <w:t>value  for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=MajorAllele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, as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=MinorAllele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∉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MajorAllele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,MinorAllele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=1-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=MajorAllele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</w:p>
    <w:p w:rsidR="00DE6502" w:rsidRDefault="00DE6502">
      <w:r>
        <w:t>Phase 2: Conversion to Binary</w:t>
      </w:r>
    </w:p>
    <w:p w:rsidR="00502621" w:rsidRDefault="00502621">
      <w:r>
        <w:t>The process of converting ASCII floating point values to binary provides two benefits</w:t>
      </w:r>
    </w:p>
    <w:p w:rsidR="00502621" w:rsidRDefault="00502621" w:rsidP="00502621">
      <w:pPr>
        <w:pStyle w:val="ListParagraph"/>
        <w:numPr>
          <w:ilvl w:val="0"/>
          <w:numId w:val="5"/>
        </w:numPr>
      </w:pPr>
      <w:r>
        <w:t>Dramatic reduction in data loading and interpretation time</w:t>
      </w:r>
    </w:p>
    <w:p w:rsidR="00502621" w:rsidRDefault="00502621" w:rsidP="00502621">
      <w:pPr>
        <w:pStyle w:val="ListParagraph"/>
        <w:numPr>
          <w:ilvl w:val="0"/>
          <w:numId w:val="5"/>
        </w:numPr>
      </w:pPr>
      <w:r>
        <w:t>Reduction in data redundancy via indirection</w:t>
      </w:r>
    </w:p>
    <w:p w:rsidR="002E657C" w:rsidRDefault="002E657C">
      <w:pPr>
        <w:rPr>
          <w:rFonts w:eastAsiaTheme="minorEastAsia"/>
        </w:rPr>
      </w:pPr>
      <w:r>
        <w:t xml:space="preserve">Even at one single precision floating point value per genomic position, </w:t>
      </w:r>
      <w:r w:rsidR="00502621">
        <w:t>(3Gbase * 4 b</w:t>
      </w:r>
      <w:r>
        <w:t xml:space="preserve">ytes / base), 12GB of memory would be requires to store the data for all genomic positions.  While careful truncation of probability resolution might reduce this to </w:t>
      </w:r>
      <w:r w:rsidR="00502621">
        <w:t xml:space="preserve">2 bytes per base, even this proved unnecessary. As the human allele distribution was derived from 54 individuals, only 240 unique values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=MajorAllele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502621">
        <w:rPr>
          <w:rFonts w:eastAsiaTheme="minorEastAsia"/>
        </w:rPr>
        <w:t xml:space="preserve"> </w:t>
      </w:r>
      <w:proofErr w:type="gramStart"/>
      <w:r w:rsidR="00502621">
        <w:rPr>
          <w:rFonts w:eastAsiaTheme="minorEastAsia"/>
        </w:rPr>
        <w:t xml:space="preserve">and 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Minor</m:t>
            </m:r>
            <m:r>
              <w:rPr>
                <w:rFonts w:ascii="Cambria Math" w:eastAsiaTheme="minorEastAsia" w:hAnsi="Cambria Math"/>
              </w:rPr>
              <m:t>Allele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502621">
        <w:rPr>
          <w:rFonts w:eastAsiaTheme="minorEastAsia"/>
        </w:rPr>
        <w:t>were produced, across the entire genome. This allowed the probability value to be replaced with a single byte index into a 256 entry lookup table of double precision values, reducing the memory footprint to 1 byte / genomic position or around 3GB without sacrificing numerical precision. The index value of 0 was used to indicate missing data.</w:t>
      </w:r>
    </w:p>
    <w:p w:rsidR="00502621" w:rsidRDefault="00502621">
      <w:r>
        <w:t>Conversion to a binary database progressed in three steps</w:t>
      </w:r>
    </w:p>
    <w:p w:rsidR="00502621" w:rsidRPr="00D04B4B" w:rsidRDefault="00502621" w:rsidP="00D04B4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Identification of unique values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04B4B" w:rsidRPr="00D04B4B">
        <w:rPr>
          <w:rFonts w:eastAsiaTheme="minorEastAsia"/>
        </w:rPr>
        <w:t xml:space="preserve"> and generation of lookup table</w:t>
      </w:r>
    </w:p>
    <w:p w:rsidR="00D04B4B" w:rsidRPr="00D04B4B" w:rsidRDefault="00D04B4B" w:rsidP="00D04B4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D04B4B">
        <w:rPr>
          <w:rFonts w:eastAsiaTheme="minorEastAsia"/>
        </w:rPr>
        <w:t>Separation of genomic positions Mono and Poly subsets</w:t>
      </w:r>
    </w:p>
    <w:p w:rsidR="00D04B4B" w:rsidRPr="00D04B4B" w:rsidRDefault="00D04B4B" w:rsidP="00D04B4B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D04B4B">
        <w:rPr>
          <w:rFonts w:eastAsiaTheme="minorEastAsia"/>
        </w:rPr>
        <w:t>Encoding of each subset into a binary file format, with a dense Mono database, having one byte for each position in autosomal HG19, and a sparse Poly database, with a chromosome, position Allele frequency and 2 probability indices for each position.</w:t>
      </w:r>
    </w:p>
    <w:p w:rsidR="00D04B4B" w:rsidRDefault="00D04B4B">
      <w:r>
        <w:t xml:space="preserve">Monomorphism data is stored in a binary-specified format, while polymorphism data is read from ASCII formatted files and automatically translated to a “.cache” file that represents the same data in </w:t>
      </w:r>
      <w:proofErr w:type="gramStart"/>
      <w:r>
        <w:t>hosts</w:t>
      </w:r>
      <w:proofErr w:type="gramEnd"/>
      <w:r>
        <w:t xml:space="preserve"> memory organization. </w:t>
      </w:r>
      <w:r w:rsidR="006C1027">
        <w:t>If present, the “.cache” file is read directly into memory via a single IO call, rather than reinterpreted from ASCII.</w:t>
      </w:r>
    </w:p>
    <w:p w:rsidR="006C1027" w:rsidRDefault="006C1027">
      <w:r>
        <w:t>Code Support:</w:t>
      </w:r>
    </w:p>
    <w:p w:rsidR="006C1027" w:rsidRDefault="006C1027" w:rsidP="006C1027">
      <w:pPr>
        <w:pStyle w:val="ListParagraph"/>
        <w:numPr>
          <w:ilvl w:val="0"/>
          <w:numId w:val="7"/>
        </w:numPr>
      </w:pPr>
      <w:proofErr w:type="spellStart"/>
      <w:r>
        <w:t>Butils</w:t>
      </w:r>
      <w:proofErr w:type="gramStart"/>
      <w:r>
        <w:t>:fastfile.h</w:t>
      </w:r>
      <w:proofErr w:type="spellEnd"/>
      <w:proofErr w:type="gramEnd"/>
      <w:r>
        <w:tab/>
      </w:r>
      <w:r>
        <w:tab/>
        <w:t xml:space="preserve">High speed asci -&gt; float / </w:t>
      </w:r>
      <w:proofErr w:type="spellStart"/>
      <w:r>
        <w:t>int</w:t>
      </w:r>
      <w:proofErr w:type="spellEnd"/>
      <w:r>
        <w:t xml:space="preserve"> / string interpretation, more than 10x</w:t>
      </w:r>
      <w:r>
        <w:br/>
        <w:t xml:space="preserve"> </w:t>
      </w:r>
      <w:r>
        <w:tab/>
      </w:r>
      <w:r>
        <w:tab/>
      </w:r>
      <w:r>
        <w:tab/>
        <w:t xml:space="preserve">faster than </w:t>
      </w:r>
      <w:proofErr w:type="spellStart"/>
      <w:r>
        <w:t>stdio</w:t>
      </w:r>
      <w:proofErr w:type="spellEnd"/>
      <w:r>
        <w:t>.</w:t>
      </w:r>
    </w:p>
    <w:p w:rsidR="006C1027" w:rsidRDefault="006C1027" w:rsidP="006C1027">
      <w:pPr>
        <w:pStyle w:val="ListParagraph"/>
        <w:numPr>
          <w:ilvl w:val="0"/>
          <w:numId w:val="7"/>
        </w:numPr>
      </w:pPr>
      <w:proofErr w:type="spellStart"/>
      <w:r>
        <w:t>butils:RTable.h</w:t>
      </w:r>
      <w:proofErr w:type="spellEnd"/>
      <w:r>
        <w:tab/>
      </w:r>
      <w:r>
        <w:tab/>
        <w:t>Storage and conversion between table indexes and float / string data</w:t>
      </w:r>
    </w:p>
    <w:p w:rsidR="006C1027" w:rsidRDefault="006C1027" w:rsidP="006C1027">
      <w:pPr>
        <w:pStyle w:val="ListParagraph"/>
        <w:numPr>
          <w:ilvl w:val="0"/>
          <w:numId w:val="7"/>
        </w:numPr>
      </w:pPr>
      <w:proofErr w:type="spellStart"/>
      <w:proofErr w:type="gramStart"/>
      <w:r>
        <w:lastRenderedPageBreak/>
        <w:t>butils:</w:t>
      </w:r>
      <w:proofErr w:type="gramEnd"/>
      <w:r>
        <w:t>vecarray.h</w:t>
      </w:r>
      <w:proofErr w:type="spellEnd"/>
      <w:r>
        <w:tab/>
        <w:t>Conversion from, ASCII-friendly dynamic vectors, to fixed size arrays</w:t>
      </w:r>
      <w:r>
        <w:br/>
        <w:t xml:space="preserve"> </w:t>
      </w:r>
      <w:r>
        <w:tab/>
      </w:r>
      <w:r>
        <w:tab/>
      </w:r>
      <w:r>
        <w:tab/>
        <w:t xml:space="preserve"> suitable for binary IO, “.cache” file generation, and source selection.</w:t>
      </w:r>
    </w:p>
    <w:p w:rsidR="00A3742F" w:rsidRDefault="00A3742F"/>
    <w:p w:rsidR="00A3742F" w:rsidRDefault="00B77D42" w:rsidP="00A3742F">
      <w:r>
        <w:t>Phase 2a</w:t>
      </w:r>
      <w:r w:rsidR="00A3742F">
        <w:t xml:space="preserve">: </w:t>
      </w:r>
      <w:r w:rsidR="00A3742F">
        <w:t>Database access and Model Primitives</w:t>
      </w:r>
    </w:p>
    <w:p w:rsidR="00A3742F" w:rsidRDefault="00A3742F" w:rsidP="00A3742F">
      <w:r>
        <w:t xml:space="preserve">The C++ namespace </w:t>
      </w:r>
      <w:proofErr w:type="spellStart"/>
      <w:r w:rsidRPr="00A3742F">
        <w:rPr>
          <w:b/>
        </w:rPr>
        <w:t>insdb</w:t>
      </w:r>
      <w:proofErr w:type="spellEnd"/>
      <w:r w:rsidRPr="00A3742F">
        <w:rPr>
          <w:b/>
        </w:rPr>
        <w:t>:</w:t>
      </w:r>
      <w:r>
        <w:t xml:space="preserve"> provides top-level access to the insight database and can be simply modified encode indices using 2 bytes if more than 255 unique probability values are needed. Conceptually, the database is composed of 4 components:</w:t>
      </w:r>
    </w:p>
    <w:p w:rsidR="00A3742F" w:rsidRDefault="00A3742F" w:rsidP="00A3742F">
      <w:pPr>
        <w:pStyle w:val="ListParagraph"/>
        <w:numPr>
          <w:ilvl w:val="0"/>
          <w:numId w:val="8"/>
        </w:numPr>
      </w:pPr>
      <w:r w:rsidRPr="008614AA">
        <w:rPr>
          <w:u w:val="single"/>
        </w:rPr>
        <w:t>Mono</w:t>
      </w:r>
      <w:r>
        <w:t xml:space="preserve"> – an array of indices into the probability database representing </w:t>
      </w:r>
      <w:proofErr w:type="gramStart"/>
      <w:r w:rsidR="008614AA">
        <w:t>P(</w:t>
      </w:r>
      <w:proofErr w:type="spellStart"/>
      <w:proofErr w:type="gramEnd"/>
      <w:r>
        <w:t>ZeqXmaj</w:t>
      </w:r>
      <w:proofErr w:type="spellEnd"/>
      <w:r w:rsidR="008614AA">
        <w:t>)</w:t>
      </w:r>
      <w:r>
        <w:t>, 1 for each genomic position with a 0 i</w:t>
      </w:r>
      <w:r w:rsidR="008614AA">
        <w:t>ndex indicating missing data, o</w:t>
      </w:r>
      <w:r>
        <w:t>r a non-monomorphic position</w:t>
      </w:r>
      <w:r w:rsidR="008614AA">
        <w:t>.</w:t>
      </w:r>
    </w:p>
    <w:p w:rsidR="00A3742F" w:rsidRDefault="00A3742F" w:rsidP="00A3742F">
      <w:pPr>
        <w:pStyle w:val="ListParagraph"/>
        <w:numPr>
          <w:ilvl w:val="0"/>
          <w:numId w:val="8"/>
        </w:numPr>
      </w:pPr>
      <w:r w:rsidRPr="008614AA">
        <w:rPr>
          <w:u w:val="single"/>
        </w:rPr>
        <w:t>Block</w:t>
      </w:r>
      <w:r>
        <w:t xml:space="preserve"> – an ordered array of non-overlapping INSIGHT b</w:t>
      </w:r>
      <w:r w:rsidR="008614AA">
        <w:t xml:space="preserve">lock boundaries providing: </w:t>
      </w:r>
      <w:r>
        <w:t>chromosome, start, end</w:t>
      </w:r>
      <w:r w:rsidR="008614AA">
        <w:t xml:space="preserve">, </w:t>
      </w:r>
      <w:r>
        <w:t>lambda</w:t>
      </w:r>
      <w:r w:rsidR="008614AA">
        <w:t>,</w:t>
      </w:r>
      <w:r>
        <w:t xml:space="preserve"> and theta values for the corresponding block.</w:t>
      </w:r>
    </w:p>
    <w:p w:rsidR="00A3742F" w:rsidRDefault="00A3742F" w:rsidP="00A3742F">
      <w:pPr>
        <w:pStyle w:val="ListParagraph"/>
        <w:numPr>
          <w:ilvl w:val="0"/>
          <w:numId w:val="8"/>
        </w:numPr>
      </w:pPr>
      <w:r w:rsidRPr="008614AA">
        <w:rPr>
          <w:u w:val="single"/>
        </w:rPr>
        <w:t>Poly</w:t>
      </w:r>
      <w:r>
        <w:t xml:space="preserve"> – an ordered array of polymorphic sites, with each element containing</w:t>
      </w:r>
      <w:r w:rsidR="008614AA">
        <w:t>:</w:t>
      </w:r>
      <w:r>
        <w:t xml:space="preserve"> chromosome, position</w:t>
      </w:r>
      <w:r w:rsidR="008614AA">
        <w:t xml:space="preserve">, Frequency Class (H/L), </w:t>
      </w:r>
      <w:r>
        <w:t xml:space="preserve">and 2 indices into the probability table providing </w:t>
      </w:r>
      <w:proofErr w:type="gramStart"/>
      <w:r>
        <w:t>P(</w:t>
      </w:r>
      <w:proofErr w:type="spellStart"/>
      <w:proofErr w:type="gramEnd"/>
      <w:r>
        <w:t>ZeqXmaj</w:t>
      </w:r>
      <w:proofErr w:type="spellEnd"/>
      <w:r>
        <w:t>) and P(</w:t>
      </w:r>
      <w:proofErr w:type="spellStart"/>
      <w:r>
        <w:t>ZeqXmin</w:t>
      </w:r>
      <w:proofErr w:type="spellEnd"/>
      <w:r>
        <w:t>).</w:t>
      </w:r>
    </w:p>
    <w:p w:rsidR="00A3742F" w:rsidRDefault="00A3742F" w:rsidP="00A3742F">
      <w:pPr>
        <w:pStyle w:val="ListParagraph"/>
        <w:numPr>
          <w:ilvl w:val="0"/>
          <w:numId w:val="8"/>
        </w:numPr>
      </w:pPr>
      <w:proofErr w:type="spellStart"/>
      <w:r w:rsidRPr="008614AA">
        <w:rPr>
          <w:u w:val="single"/>
        </w:rPr>
        <w:t>Poly</w:t>
      </w:r>
      <w:r w:rsidRPr="008614AA">
        <w:rPr>
          <w:u w:val="single"/>
        </w:rPr>
        <w:t>N</w:t>
      </w:r>
      <w:proofErr w:type="spellEnd"/>
      <w:r>
        <w:t xml:space="preserve"> – </w:t>
      </w:r>
      <w:r>
        <w:t>A subset of the Poly database representing only neutral polymorphic sites.</w:t>
      </w:r>
    </w:p>
    <w:p w:rsidR="008614AA" w:rsidRDefault="008614AA" w:rsidP="00A3742F">
      <w:r>
        <w:t xml:space="preserve">The database is read by providing string indicating the database location in a file system to </w:t>
      </w:r>
      <w:proofErr w:type="spellStart"/>
      <w:r w:rsidRPr="008614AA">
        <w:rPr>
          <w:b/>
        </w:rPr>
        <w:t>DB</w:t>
      </w:r>
      <w:proofErr w:type="gramStart"/>
      <w:r w:rsidRPr="008614AA">
        <w:rPr>
          <w:b/>
        </w:rPr>
        <w:t>:ReadDB</w:t>
      </w:r>
      <w:proofErr w:type="spellEnd"/>
      <w:proofErr w:type="gramEnd"/>
      <w:r w:rsidRPr="008614AA">
        <w:rPr>
          <w:b/>
        </w:rPr>
        <w:t>()</w:t>
      </w:r>
      <w:r>
        <w:t xml:space="preserve">. The database is usually traversed in ascending order (as per </w:t>
      </w:r>
      <w:r w:rsidRPr="008614AA">
        <w:rPr>
          <w:i/>
        </w:rPr>
        <w:t>.bed</w:t>
      </w:r>
      <w:r>
        <w:t xml:space="preserve"> file sort order) by initializing the traversal using </w:t>
      </w:r>
      <w:proofErr w:type="spellStart"/>
      <w:r>
        <w:t>DB</w:t>
      </w:r>
      <w:proofErr w:type="gramStart"/>
      <w:r>
        <w:t>:locStreamInit</w:t>
      </w:r>
      <w:proofErr w:type="spellEnd"/>
      <w:proofErr w:type="gramEnd"/>
      <w:r>
        <w:t xml:space="preserve">(), followed by a succession of </w:t>
      </w:r>
      <w:proofErr w:type="spellStart"/>
      <w:r w:rsidRPr="008614AA">
        <w:rPr>
          <w:b/>
        </w:rPr>
        <w:t>locStreamFast</w:t>
      </w:r>
      <w:proofErr w:type="spellEnd"/>
      <w:r w:rsidRPr="008614AA">
        <w:rPr>
          <w:b/>
        </w:rPr>
        <w:t>()</w:t>
      </w:r>
      <w:r>
        <w:t xml:space="preserve"> or </w:t>
      </w:r>
      <w:proofErr w:type="spellStart"/>
      <w:r w:rsidRPr="008614AA">
        <w:rPr>
          <w:b/>
        </w:rPr>
        <w:t>locStreamBig</w:t>
      </w:r>
      <w:proofErr w:type="spellEnd"/>
      <w:r w:rsidRPr="008614AA">
        <w:rPr>
          <w:b/>
        </w:rPr>
        <w:t>()</w:t>
      </w:r>
      <w:r>
        <w:t xml:space="preserve"> for detailed, or summary data, respectively.</w:t>
      </w:r>
    </w:p>
    <w:p w:rsidR="008614AA" w:rsidRDefault="008614AA" w:rsidP="00A3742F">
      <w:r>
        <w:t xml:space="preserve">Efficient representation of database subsets is provided by the </w:t>
      </w:r>
      <w:proofErr w:type="spellStart"/>
      <w:r w:rsidRPr="008614AA">
        <w:rPr>
          <w:b/>
        </w:rPr>
        <w:t>inscomp</w:t>
      </w:r>
      <w:proofErr w:type="spellEnd"/>
      <w:r w:rsidRPr="008614AA">
        <w:rPr>
          <w:b/>
        </w:rPr>
        <w:t>::Block</w:t>
      </w:r>
      <w:r>
        <w:t xml:space="preserve"> template. Rather than maintain a list of sites, each with its own sufficient properties, Block maintains a list counts for </w:t>
      </w:r>
      <w:r w:rsidR="00ED6365">
        <w:t xml:space="preserve">each set </w:t>
      </w:r>
      <w:r>
        <w:t xml:space="preserve">of sufficient properties. This can be far more compact and efficiently enables dynamic weighting of genomic positions as </w:t>
      </w:r>
      <w:r w:rsidR="00ED6365">
        <w:t xml:space="preserve">a </w:t>
      </w:r>
      <w:r>
        <w:t>fractional number of observations of corresponding sufficient properties.</w:t>
      </w:r>
    </w:p>
    <w:p w:rsidR="00A3742F" w:rsidRDefault="00A3742F" w:rsidP="00A3742F">
      <w:r>
        <w:t xml:space="preserve">The C++ namespace  </w:t>
      </w:r>
      <w:proofErr w:type="spellStart"/>
      <w:r w:rsidRPr="00A3742F">
        <w:rPr>
          <w:b/>
        </w:rPr>
        <w:t>inscomp</w:t>
      </w:r>
      <w:proofErr w:type="spellEnd"/>
      <w:r w:rsidRPr="00A3742F">
        <w:rPr>
          <w:b/>
        </w:rPr>
        <w:t>:</w:t>
      </w:r>
      <w:r>
        <w:t xml:space="preserve"> holds structures to load and manipulate INSIGHT models</w:t>
      </w:r>
      <w:r w:rsidR="00ED6365">
        <w:t xml:space="preserve"> </w:t>
      </w:r>
      <w:r>
        <w:t xml:space="preserve">and parameters, including </w:t>
      </w:r>
      <w:r w:rsidR="00ED6365">
        <w:t xml:space="preserve">simple calculation of </w:t>
      </w:r>
      <w:r>
        <w:t>data likelihood</w:t>
      </w:r>
      <w:r w:rsidR="00ED6365">
        <w:t xml:space="preserve"> (for debugging)</w:t>
      </w:r>
      <w:r>
        <w:t xml:space="preserve">, and converting data base subsets into a high-performance format for the rapid calculation of likelihoods / </w:t>
      </w:r>
      <w:proofErr w:type="spellStart"/>
      <w:r>
        <w:t>MaP</w:t>
      </w:r>
      <w:proofErr w:type="spellEnd"/>
      <w:r>
        <w:t xml:space="preserve"> values that might be used in generating optimal values, or posterior parameter distributions.</w:t>
      </w:r>
      <w:r w:rsidR="00ED6365">
        <w:t xml:space="preserve"> </w:t>
      </w:r>
      <w:proofErr w:type="spellStart"/>
      <w:r w:rsidR="00ED6365" w:rsidRPr="00ED6365">
        <w:rPr>
          <w:b/>
        </w:rPr>
        <w:t>Inscomp</w:t>
      </w:r>
      <w:proofErr w:type="spellEnd"/>
      <w:r w:rsidR="00ED6365" w:rsidRPr="00ED6365">
        <w:rPr>
          <w:b/>
        </w:rPr>
        <w:t>::</w:t>
      </w:r>
      <w:proofErr w:type="spellStart"/>
      <w:r w:rsidR="00ED6365" w:rsidRPr="00ED6365">
        <w:rPr>
          <w:b/>
        </w:rPr>
        <w:t>modelInsight</w:t>
      </w:r>
      <w:proofErr w:type="spellEnd"/>
      <w:r w:rsidR="00ED6365">
        <w:t xml:space="preserve"> is the central class for this namespace and base class for many of its members.  </w:t>
      </w:r>
      <w:proofErr w:type="spellStart"/>
      <w:r w:rsidR="00ED6365" w:rsidRPr="00ED6365">
        <w:rPr>
          <w:b/>
        </w:rPr>
        <w:t>modelInsight</w:t>
      </w:r>
      <w:proofErr w:type="spellEnd"/>
      <w:r w:rsidR="00ED6365" w:rsidRPr="00ED6365">
        <w:rPr>
          <w:b/>
        </w:rPr>
        <w:t>::</w:t>
      </w:r>
      <w:proofErr w:type="gramStart"/>
      <w:r w:rsidR="00ED6365" w:rsidRPr="00ED6365">
        <w:rPr>
          <w:b/>
        </w:rPr>
        <w:t>likelihood(</w:t>
      </w:r>
      <w:proofErr w:type="gramEnd"/>
      <w:r w:rsidR="00ED6365" w:rsidRPr="00ED6365">
        <w:rPr>
          <w:b/>
        </w:rPr>
        <w:t>)</w:t>
      </w:r>
      <w:r w:rsidR="00ED6365">
        <w:t xml:space="preserve"> and </w:t>
      </w:r>
      <w:proofErr w:type="spellStart"/>
      <w:r w:rsidR="00ED6365" w:rsidRPr="00ED6365">
        <w:rPr>
          <w:b/>
        </w:rPr>
        <w:t>modelInsight</w:t>
      </w:r>
      <w:proofErr w:type="spellEnd"/>
      <w:r w:rsidR="00ED6365" w:rsidRPr="00ED6365">
        <w:rPr>
          <w:b/>
        </w:rPr>
        <w:t>::</w:t>
      </w:r>
      <w:proofErr w:type="spellStart"/>
      <w:r w:rsidR="00ED6365" w:rsidRPr="00ED6365">
        <w:rPr>
          <w:b/>
        </w:rPr>
        <w:t>likelihood</w:t>
      </w:r>
      <w:r w:rsidR="00ED6365">
        <w:rPr>
          <w:b/>
        </w:rPr>
        <w:t>Matrix</w:t>
      </w:r>
      <w:proofErr w:type="spellEnd"/>
      <w:r w:rsidR="00ED6365" w:rsidRPr="00ED6365">
        <w:rPr>
          <w:b/>
        </w:rPr>
        <w:t>()</w:t>
      </w:r>
      <w:r w:rsidR="00ED6365">
        <w:t xml:space="preserve"> calculate both likelihood of an observation (based on its sufficient properties), and expected probability distribution over each pattern of sufficient properties.</w:t>
      </w:r>
    </w:p>
    <w:p w:rsidR="00ED6365" w:rsidRDefault="00ED6365"/>
    <w:p w:rsidR="00DE6502" w:rsidRDefault="00B77D42">
      <w:r>
        <w:t>Phase 3</w:t>
      </w:r>
      <w:r w:rsidR="00DE6502">
        <w:t>: EM to ML</w:t>
      </w:r>
    </w:p>
    <w:p w:rsidR="006C1027" w:rsidRDefault="006C1027">
      <w:pPr>
        <w:rPr>
          <w:rFonts w:eastAsiaTheme="minorEastAsia"/>
        </w:rPr>
      </w:pPr>
      <w:r>
        <w:t xml:space="preserve">Imposition of the infinite sites model on the descent of </w:t>
      </w:r>
      <m:oMath>
        <m:r>
          <w:rPr>
            <w:rFonts w:ascii="Cambria Math" w:hAnsi="Cambria Math"/>
          </w:rPr>
          <m:t>X</m:t>
        </m:r>
      </m:oMath>
      <w:r>
        <w:t xml:space="preserve"> from </w:t>
      </w:r>
      <m:oMath>
        <m:r>
          <w:rPr>
            <w:rFonts w:ascii="Cambria Math" w:hAnsi="Cambria Math"/>
          </w:rPr>
          <m:t>A</m:t>
        </m:r>
      </m:oMath>
      <w:r>
        <w:t xml:space="preserve"> allowed the explicit calculation of data likelihood from sufficient properties, and eliminated the need to use Expectation Maximization to explicitly model distributions over latent </w:t>
      </w:r>
      <w:proofErr w:type="gramStart"/>
      <w:r>
        <w:t xml:space="preserve">variable </w:t>
      </w:r>
      <w:proofErr w:type="gramEnd"/>
      <m:oMath>
        <m:r>
          <w:rPr>
            <w:rFonts w:ascii="Cambria Math" w:hAnsi="Cambria Math"/>
          </w:rPr>
          <m:t>A</m:t>
        </m:r>
      </m:oMath>
      <w:r>
        <w:t xml:space="preserve">. The result is that the likelihood of one observation </w:t>
      </w:r>
      <w:r>
        <w:lastRenderedPageBreak/>
        <w:t xml:space="preserve">under the model can be reduced to a simple nonlinear function in global model </w:t>
      </w:r>
      <w:proofErr w:type="gramStart"/>
      <w:r w:rsidR="000E3B15">
        <w:t xml:space="preserve">parameters </w:t>
      </w:r>
      <w:proofErr w:type="gramEnd"/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 </w:t>
      </w:r>
      <w:r w:rsidR="000E3B15">
        <w:rPr>
          <w:rFonts w:eastAsiaTheme="minorEastAsia"/>
        </w:rPr>
        <w:t xml:space="preserve">in </w:t>
      </w:r>
      <w:r>
        <w:rPr>
          <w:rFonts w:eastAsiaTheme="minorEastAsia"/>
        </w:rPr>
        <w:t>the form</w:t>
      </w:r>
    </w:p>
    <w:p w:rsidR="000E3B15" w:rsidRPr="000E3B15" w:rsidRDefault="006C10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A+Bρ+Cρη+Dργ+Eρηγ</m:t>
          </m:r>
        </m:oMath>
      </m:oMathPara>
    </w:p>
    <w:p w:rsidR="000E3B15" w:rsidRDefault="000E3B15">
      <w:r>
        <w:t>This relatively smooth function is amenable to direct numerical optimization via classic bounded gradient descent (</w:t>
      </w:r>
      <w:proofErr w:type="spellStart"/>
      <w:r>
        <w:t>lbfgs</w:t>
      </w:r>
      <w:proofErr w:type="spellEnd"/>
      <w:r>
        <w:t>) to find maximum likelihood values for the parameters. When priors are employed to identify maximum posterior probability (</w:t>
      </w:r>
      <w:proofErr w:type="spellStart"/>
      <w:r>
        <w:t>MaP</w:t>
      </w:r>
      <w:proofErr w:type="spellEnd"/>
      <w:r>
        <w:t>) values for the parameters, appropriate synthetic observations (</w:t>
      </w:r>
      <w:proofErr w:type="spellStart"/>
      <w:proofErr w:type="gramStart"/>
      <w:r>
        <w:t>pseudocounts</w:t>
      </w:r>
      <w:proofErr w:type="spellEnd"/>
      <w:r>
        <w:t xml:space="preserve"> )</w:t>
      </w:r>
      <w:proofErr w:type="gramEnd"/>
      <w:r>
        <w:t xml:space="preserve"> are added to the data set to generate prior biases.</w:t>
      </w:r>
    </w:p>
    <w:p w:rsidR="000E3B15" w:rsidRDefault="000E3B15" w:rsidP="00ED6365">
      <w:pPr>
        <w:spacing w:after="0"/>
      </w:pPr>
      <w:r>
        <w:t>Software Support</w:t>
      </w:r>
    </w:p>
    <w:p w:rsidR="000E3B15" w:rsidRDefault="000E3B15" w:rsidP="00ED6365">
      <w:pPr>
        <w:pStyle w:val="ListParagraph"/>
        <w:numPr>
          <w:ilvl w:val="0"/>
          <w:numId w:val="9"/>
        </w:numPr>
      </w:pPr>
      <w:proofErr w:type="spellStart"/>
      <w:r w:rsidRPr="00ED6365">
        <w:rPr>
          <w:b/>
        </w:rPr>
        <w:t>Butils</w:t>
      </w:r>
      <w:proofErr w:type="gramStart"/>
      <w:r w:rsidRPr="00ED6365">
        <w:rPr>
          <w:b/>
        </w:rPr>
        <w:t>:lbfgsb.c.h</w:t>
      </w:r>
      <w:proofErr w:type="spellEnd"/>
      <w:proofErr w:type="gramEnd"/>
      <w:r>
        <w:t xml:space="preserve"> </w:t>
      </w:r>
      <w:r w:rsidR="00ED6365">
        <w:t xml:space="preserve">: </w:t>
      </w:r>
      <w:r>
        <w:t xml:space="preserve"> </w:t>
      </w:r>
      <w:r w:rsidR="00ED6365">
        <w:tab/>
      </w:r>
      <w:r>
        <w:t xml:space="preserve">C wrapper for old </w:t>
      </w:r>
      <w:r w:rsidR="00ED6365">
        <w:t>Fortran</w:t>
      </w:r>
      <w:r>
        <w:t xml:space="preserve"> to C code (</w:t>
      </w:r>
      <w:hyperlink r:id="rId6" w:history="1">
        <w:r w:rsidRPr="000E3B15">
          <w:rPr>
            <w:rStyle w:val="Hyperlink"/>
          </w:rPr>
          <w:t>link</w:t>
        </w:r>
      </w:hyperlink>
      <w:r>
        <w:t>), do not use this directly, use optimizer.</w:t>
      </w:r>
    </w:p>
    <w:p w:rsidR="000E3B15" w:rsidRDefault="000E3B15" w:rsidP="00ED6365">
      <w:pPr>
        <w:pStyle w:val="ListParagraph"/>
        <w:numPr>
          <w:ilvl w:val="0"/>
          <w:numId w:val="9"/>
        </w:numPr>
      </w:pPr>
      <w:proofErr w:type="spellStart"/>
      <w:r w:rsidRPr="00ED6365">
        <w:rPr>
          <w:b/>
        </w:rPr>
        <w:t>Butils</w:t>
      </w:r>
      <w:proofErr w:type="gramStart"/>
      <w:r w:rsidRPr="00ED6365">
        <w:rPr>
          <w:b/>
        </w:rPr>
        <w:t>:optimizer.h</w:t>
      </w:r>
      <w:proofErr w:type="spellEnd"/>
      <w:proofErr w:type="gramEnd"/>
      <w:r w:rsidR="00ED6365">
        <w:t xml:space="preserve">: </w:t>
      </w:r>
      <w:r w:rsidR="00ED6365">
        <w:tab/>
      </w:r>
      <w:r>
        <w:t xml:space="preserve"> C++ optimizer, provides cleaner interface for options and value / </w:t>
      </w:r>
      <w:r w:rsidR="00ED6365">
        <w:t>derivative</w:t>
      </w:r>
      <w:r>
        <w:t xml:space="preserve"> calculations. If analytic </w:t>
      </w:r>
      <w:r w:rsidR="00ED6365">
        <w:t>derivatives</w:t>
      </w:r>
      <w:r>
        <w:t xml:space="preserve"> are not available, this header provides a simple difference based approximation. Derive from this base class and override </w:t>
      </w:r>
      <w:proofErr w:type="spellStart"/>
      <w:proofErr w:type="gramStart"/>
      <w:r>
        <w:t>CalcValue</w:t>
      </w:r>
      <w:proofErr w:type="spellEnd"/>
      <w:r>
        <w:t>(</w:t>
      </w:r>
      <w:proofErr w:type="gramEnd"/>
      <w:r>
        <w:t xml:space="preserve">). If </w:t>
      </w:r>
      <w:r w:rsidR="00ED6365">
        <w:t>analytic</w:t>
      </w:r>
      <w:r w:rsidR="00A3742F">
        <w:t xml:space="preserve"> </w:t>
      </w:r>
      <w:r w:rsidR="00ED6365">
        <w:t>derivatives</w:t>
      </w:r>
      <w:r w:rsidR="00A3742F">
        <w:t xml:space="preserve"> are </w:t>
      </w:r>
      <w:r w:rsidR="00ED6365">
        <w:t>available</w:t>
      </w:r>
      <w:r>
        <w:t xml:space="preserve">, overriding one or both of </w:t>
      </w:r>
      <w:proofErr w:type="spellStart"/>
      <w:proofErr w:type="gramStart"/>
      <w:r>
        <w:t>CalcDeravitive</w:t>
      </w:r>
      <w:proofErr w:type="spellEnd"/>
      <w:r>
        <w:t>(</w:t>
      </w:r>
      <w:proofErr w:type="gramEnd"/>
      <w:r>
        <w:t xml:space="preserve">), </w:t>
      </w:r>
      <w:proofErr w:type="spellStart"/>
      <w:r>
        <w:t>CalcValueAndDeravitive</w:t>
      </w:r>
      <w:proofErr w:type="spellEnd"/>
      <w:r>
        <w:t>() will improve performance.</w:t>
      </w:r>
    </w:p>
    <w:p w:rsidR="000E3B15" w:rsidRDefault="000E3B15" w:rsidP="000E3B15"/>
    <w:p w:rsidR="00DE6502" w:rsidRDefault="00B77D42">
      <w:r>
        <w:t>Phase 4</w:t>
      </w:r>
      <w:r w:rsidR="00DE6502">
        <w:t xml:space="preserve">: </w:t>
      </w:r>
      <w:r>
        <w:t xml:space="preserve">Model </w:t>
      </w:r>
      <w:r w:rsidR="00DE6502">
        <w:t>Priors and posteriors.</w:t>
      </w:r>
    </w:p>
    <w:p w:rsidR="00ED6365" w:rsidRDefault="00ED6365">
      <w:r>
        <w:t xml:space="preserve">Yeah </w:t>
      </w:r>
      <w:proofErr w:type="spellStart"/>
      <w:r>
        <w:t>Yeah</w:t>
      </w:r>
      <w:proofErr w:type="spellEnd"/>
      <w:r>
        <w:t xml:space="preserve"> yeah…. We’ll get to this in a moment.</w:t>
      </w:r>
    </w:p>
    <w:p w:rsidR="00B77D42" w:rsidRDefault="00B77D42" w:rsidP="00B77D42">
      <w:r>
        <w:t>Phase 5</w:t>
      </w:r>
      <w:r>
        <w:t xml:space="preserve">: </w:t>
      </w:r>
      <w:r>
        <w:t>Position wise model posteriors and allele distributions.</w:t>
      </w:r>
      <w:bookmarkStart w:id="0" w:name="_GoBack"/>
      <w:bookmarkEnd w:id="0"/>
    </w:p>
    <w:p w:rsidR="00ED6365" w:rsidRDefault="00ED6365"/>
    <w:sectPr w:rsidR="00ED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A3E"/>
    <w:multiLevelType w:val="hybridMultilevel"/>
    <w:tmpl w:val="EE7E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41D8D"/>
    <w:multiLevelType w:val="hybridMultilevel"/>
    <w:tmpl w:val="D554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777DC"/>
    <w:multiLevelType w:val="hybridMultilevel"/>
    <w:tmpl w:val="F928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C7BBD"/>
    <w:multiLevelType w:val="hybridMultilevel"/>
    <w:tmpl w:val="A596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61191"/>
    <w:multiLevelType w:val="hybridMultilevel"/>
    <w:tmpl w:val="20BE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666BC"/>
    <w:multiLevelType w:val="hybridMultilevel"/>
    <w:tmpl w:val="E94C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16D15"/>
    <w:multiLevelType w:val="hybridMultilevel"/>
    <w:tmpl w:val="1B4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225BB"/>
    <w:multiLevelType w:val="hybridMultilevel"/>
    <w:tmpl w:val="60E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52DC0"/>
    <w:multiLevelType w:val="hybridMultilevel"/>
    <w:tmpl w:val="9CAE6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5569AA"/>
    <w:multiLevelType w:val="hybridMultilevel"/>
    <w:tmpl w:val="B91E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1E3"/>
    <w:rsid w:val="000E3B15"/>
    <w:rsid w:val="002E657C"/>
    <w:rsid w:val="0042049F"/>
    <w:rsid w:val="00423AED"/>
    <w:rsid w:val="0049493B"/>
    <w:rsid w:val="00502621"/>
    <w:rsid w:val="006371E3"/>
    <w:rsid w:val="006C1027"/>
    <w:rsid w:val="006E3ECA"/>
    <w:rsid w:val="008614AA"/>
    <w:rsid w:val="00A3742F"/>
    <w:rsid w:val="00A44574"/>
    <w:rsid w:val="00B73758"/>
    <w:rsid w:val="00B77D42"/>
    <w:rsid w:val="00BA34E3"/>
    <w:rsid w:val="00D04B4B"/>
    <w:rsid w:val="00DE6502"/>
    <w:rsid w:val="00ED6365"/>
    <w:rsid w:val="00EF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4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4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6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B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4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4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6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B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e.northwestern.edu/~nocedal/lbfgsb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30316</TotalTime>
  <Pages>5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 Gulko</dc:creator>
  <cp:lastModifiedBy>Brad Gulko</cp:lastModifiedBy>
  <cp:revision>2</cp:revision>
  <dcterms:created xsi:type="dcterms:W3CDTF">2015-12-22T22:51:00Z</dcterms:created>
  <dcterms:modified xsi:type="dcterms:W3CDTF">2016-01-17T20:18:00Z</dcterms:modified>
</cp:coreProperties>
</file>