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6E120" w14:textId="48B5CA58" w:rsidR="00544A05" w:rsidRDefault="005A583B" w:rsidP="005A583B">
      <w:pPr>
        <w:spacing w:after="160" w:line="278" w:lineRule="auto"/>
        <w:jc w:val="center"/>
        <w:rPr>
          <w:rFonts w:asciiTheme="minorHAnsi"/>
          <w:b/>
          <w:bCs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>COVID-19: Amit tudn</w:t>
      </w:r>
      <w:r w:rsidR="009749EA">
        <w:rPr>
          <w:rFonts w:asciiTheme="minorHAnsi"/>
          <w:b/>
          <w:bCs/>
          <w:kern w:val="2"/>
          <w:sz w:val="24"/>
          <w:szCs w:val="24"/>
          <w14:ligatures w14:val="standardContextual"/>
        </w:rPr>
        <w:t>ia</w:t>
      </w: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 xml:space="preserve"> kell </w:t>
      </w:r>
      <w:r w:rsidR="00FA55B2">
        <w:rPr>
          <w:rFonts w:asciiTheme="minorHAnsi"/>
          <w:b/>
          <w:bCs/>
          <w:kern w:val="2"/>
          <w:sz w:val="24"/>
          <w:szCs w:val="24"/>
          <w14:ligatures w14:val="standardContextual"/>
        </w:rPr>
        <w:t>idén ősszel</w:t>
      </w: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 xml:space="preserve"> (2025)</w:t>
      </w: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br/>
        <w:t>Valós tények, közösségi támogatás, megelőzés a jövőért</w:t>
      </w:r>
    </w:p>
    <w:p w14:paraId="41B5A6A4" w14:textId="77777777" w:rsidR="005A583B" w:rsidRPr="005A583B" w:rsidRDefault="005A583B" w:rsidP="005A583B">
      <w:pPr>
        <w:spacing w:after="160" w:line="278" w:lineRule="auto"/>
        <w:jc w:val="center"/>
        <w:rPr>
          <w:rFonts w:asciiTheme="minorHAnsi"/>
          <w:b/>
          <w:bCs/>
          <w:kern w:val="2"/>
          <w:sz w:val="24"/>
          <w:szCs w:val="24"/>
          <w14:ligatures w14:val="standardContextual"/>
        </w:rPr>
      </w:pPr>
    </w:p>
    <w:p w14:paraId="1C377858" w14:textId="546A2F25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>Miért fontos még mindig a COVID-19?</w:t>
      </w: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br/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Bár a világjárvány legsúlyosabb időszaka már mögöttünk van, a COVID-19 továbbra sem tűnt el. Sokan tapasztalhattuk, hogy most már elsősorban a veszélyeztetett csoportokat – időseket, krónikus betegségekben szenvedőket, várandósokat – érinti leginkább, de kisebb hullámokban </w:t>
      </w:r>
      <w:r w:rsidR="00FA55B2" w:rsidRPr="00FA55B2">
        <w:rPr>
          <w:rFonts w:asciiTheme="minorHAnsi"/>
          <w:kern w:val="2"/>
          <w:sz w:val="24"/>
          <w:szCs w:val="24"/>
          <w14:ligatures w14:val="standardContextual"/>
        </w:rPr>
        <w:t>továbbra is jelen van a társadalomban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. Az új vírusvariánsok időről időre </w:t>
      </w:r>
      <w:r w:rsidR="00FA55B2">
        <w:rPr>
          <w:rFonts w:asciiTheme="minorHAnsi"/>
          <w:kern w:val="2"/>
          <w:sz w:val="24"/>
          <w:szCs w:val="24"/>
          <w14:ligatures w14:val="standardContextual"/>
        </w:rPr>
        <w:t>új kihívásokat hoznak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, ezért a megelőzés és az egészségmegőrzés most is kiemelten fontos.</w:t>
      </w:r>
    </w:p>
    <w:p w14:paraId="17109B24" w14:textId="77777777" w:rsidR="00544A05" w:rsidRPr="005A583B" w:rsidRDefault="005A583B" w:rsidP="005A583B">
      <w:pPr>
        <w:spacing w:after="160" w:line="278" w:lineRule="auto"/>
        <w:rPr>
          <w:rFonts w:asciiTheme="minorHAnsi"/>
          <w:b/>
          <w:bCs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>A legfrissebb adatok szerint:</w:t>
      </w:r>
    </w:p>
    <w:p w14:paraId="731C7F61" w14:textId="77777777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A COVID-19 továbbra is a vírusos légúti fertőzések egyik vezető halálozási oka, megelőzve az influenzát és az RSV-t.</w:t>
      </w:r>
    </w:p>
    <w:p w14:paraId="274F9B22" w14:textId="1D389DA7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Az oltás</w:t>
      </w:r>
      <w:r>
        <w:rPr>
          <w:rFonts w:asciiTheme="minorHAnsi"/>
          <w:kern w:val="2"/>
          <w:sz w:val="24"/>
          <w:szCs w:val="24"/>
          <w14:ligatures w14:val="standardContextual"/>
        </w:rPr>
        <w:t xml:space="preserve">sal 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jelentősen csökkenthető a betegség terjedése és a kórházi kezelések száma.</w:t>
      </w:r>
    </w:p>
    <w:p w14:paraId="33FF3A99" w14:textId="6B2664A6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A fertőzöttek jelentős része enyhe tünetekkel átvészeli a fertőzést, de a súlyos szövődmények kockázata </w:t>
      </w:r>
      <w:r w:rsidR="00FA55B2">
        <w:rPr>
          <w:rFonts w:asciiTheme="minorHAnsi"/>
          <w:kern w:val="2"/>
          <w:sz w:val="24"/>
          <w:szCs w:val="24"/>
          <w14:ligatures w14:val="standardContextual"/>
        </w:rPr>
        <w:t>különösen</w:t>
      </w:r>
      <w:r w:rsidR="00FA55B2"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bizonyos </w:t>
      </w:r>
      <w:r w:rsidR="00FA55B2">
        <w:rPr>
          <w:rFonts w:asciiTheme="minorHAnsi"/>
          <w:kern w:val="2"/>
          <w:sz w:val="24"/>
          <w:szCs w:val="24"/>
          <w14:ligatures w14:val="standardContextual"/>
        </w:rPr>
        <w:t>csoportoknál</w:t>
      </w:r>
      <w:r w:rsidR="00FA55B2"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továbbra is fennáll.</w:t>
      </w:r>
    </w:p>
    <w:p w14:paraId="1F06B866" w14:textId="3AF02718" w:rsidR="005A583B" w:rsidRDefault="005A583B" w:rsidP="005A583B">
      <w:pPr>
        <w:spacing w:after="160" w:line="278" w:lineRule="auto"/>
        <w:rPr>
          <w:rFonts w:asciiTheme="minorHAnsi"/>
          <w:b/>
          <w:bCs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>Long COVID – Amit tudn</w:t>
      </w:r>
      <w:r w:rsidR="009749EA">
        <w:rPr>
          <w:rFonts w:asciiTheme="minorHAnsi"/>
          <w:b/>
          <w:bCs/>
          <w:kern w:val="2"/>
          <w:sz w:val="24"/>
          <w:szCs w:val="24"/>
          <w14:ligatures w14:val="standardContextual"/>
        </w:rPr>
        <w:t>ia</w:t>
      </w: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 xml:space="preserve"> kell</w:t>
      </w:r>
      <w:r>
        <w:rPr>
          <w:rFonts w:asciiTheme="minorHAnsi"/>
          <w:b/>
          <w:bCs/>
          <w:kern w:val="2"/>
          <w:sz w:val="24"/>
          <w:szCs w:val="24"/>
          <w14:ligatures w14:val="standardContextual"/>
        </w:rPr>
        <w:t>:</w:t>
      </w:r>
    </w:p>
    <w:p w14:paraId="0BD1AF95" w14:textId="77777777" w:rsid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A "</w:t>
      </w:r>
      <w:proofErr w:type="spellStart"/>
      <w:r w:rsidRPr="005A583B">
        <w:rPr>
          <w:rFonts w:asciiTheme="minorHAnsi"/>
          <w:kern w:val="2"/>
          <w:sz w:val="24"/>
          <w:szCs w:val="24"/>
          <w14:ligatures w14:val="standardContextual"/>
        </w:rPr>
        <w:t>long</w:t>
      </w:r>
      <w:proofErr w:type="spellEnd"/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COVID" – vagy post-COVID szindróma – olyan tünetegyüttes, amely a fertőzést követően akár hónapokig is megmaradhat, sőt, új panaszok is jelentkezhetnek. Nemzetközi tanulmányok alapján a fertőzésen átesettek közel 42%-a (!) számol be három hónapnál tovább tartó tünetekről.</w:t>
      </w:r>
    </w:p>
    <w:p w14:paraId="6177D1DA" w14:textId="3608D49F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Ide tartozhat:</w:t>
      </w:r>
    </w:p>
    <w:p w14:paraId="4CBA82F8" w14:textId="77777777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tartós fáradtság, levertség,</w:t>
      </w:r>
    </w:p>
    <w:p w14:paraId="2A3F37B7" w14:textId="77777777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nehézlégzés, köhögés,</w:t>
      </w:r>
    </w:p>
    <w:p w14:paraId="5649363B" w14:textId="77777777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alvászavarok,</w:t>
      </w:r>
    </w:p>
    <w:p w14:paraId="51B24B9A" w14:textId="2A18A80D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koncentrációs és </w:t>
      </w:r>
      <w:r w:rsidR="00FA55B2" w:rsidRPr="005A583B">
        <w:rPr>
          <w:rFonts w:asciiTheme="minorHAnsi"/>
          <w:kern w:val="2"/>
          <w:sz w:val="24"/>
          <w:szCs w:val="24"/>
          <w14:ligatures w14:val="standardContextual"/>
        </w:rPr>
        <w:t>memóri</w:t>
      </w:r>
      <w:r w:rsidR="00FA55B2">
        <w:rPr>
          <w:rFonts w:asciiTheme="minorHAnsi"/>
          <w:kern w:val="2"/>
          <w:sz w:val="24"/>
          <w:szCs w:val="24"/>
          <w14:ligatures w14:val="standardContextual"/>
        </w:rPr>
        <w:t>azavarok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,</w:t>
      </w:r>
    </w:p>
    <w:p w14:paraId="400B2870" w14:textId="77777777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szorongás, depresszió,</w:t>
      </w:r>
    </w:p>
    <w:p w14:paraId="071B3432" w14:textId="77777777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szív- vagy keringési panaszok.</w:t>
      </w:r>
    </w:p>
    <w:p w14:paraId="39AE1E08" w14:textId="77777777" w:rsidR="00544A05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A tudomány mai állása szerint a </w:t>
      </w:r>
      <w:proofErr w:type="spellStart"/>
      <w:r w:rsidRPr="005A583B">
        <w:rPr>
          <w:rFonts w:asciiTheme="minorHAnsi"/>
          <w:kern w:val="2"/>
          <w:sz w:val="24"/>
          <w:szCs w:val="24"/>
          <w14:ligatures w14:val="standardContextual"/>
        </w:rPr>
        <w:t>long</w:t>
      </w:r>
      <w:proofErr w:type="spellEnd"/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COVID elleni legjobb védekezés a megelőzés – azaz a fertőzés, illetve a súlyosabb betegséglefolyás elkerülése, melyben a védőoltásnak meghatározó szerepe van ([tudományos igazolás: </w:t>
      </w:r>
      <w:commentRangeStart w:id="0"/>
      <w:r w:rsidRPr="005A583B">
        <w:rPr>
          <w:rFonts w:asciiTheme="minorHAnsi"/>
          <w:kern w:val="2"/>
          <w:sz w:val="24"/>
          <w:szCs w:val="24"/>
          <w14:ligatures w14:val="standardContextual"/>
        </w:rPr>
        <w:t>doi:10.1186/s12889-024-19264-5</w:t>
      </w:r>
      <w:commentRangeEnd w:id="0"/>
      <w:r w:rsidR="008034C0">
        <w:rPr>
          <w:rStyle w:val="Jegyzethivatkozs"/>
        </w:rPr>
        <w:commentReference w:id="0"/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]).</w:t>
      </w:r>
    </w:p>
    <w:p w14:paraId="25565E40" w14:textId="3D01DE08" w:rsidR="003B61CA" w:rsidRDefault="003B61CA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hyperlink r:id="rId9" w:history="1">
        <w:r w:rsidRPr="00ED4940">
          <w:rPr>
            <w:rStyle w:val="Hiperhivatkozs"/>
            <w:rFonts w:asciiTheme="minorHAnsi"/>
            <w:kern w:val="2"/>
            <w:sz w:val="24"/>
            <w:szCs w:val="24"/>
            <w14:ligatures w14:val="standardContextual"/>
          </w:rPr>
          <w:t>https://pubmed.ncbi.nlm.nih.gov/38965510/</w:t>
        </w:r>
      </w:hyperlink>
    </w:p>
    <w:p w14:paraId="01E468C9" w14:textId="77777777" w:rsidR="003B61CA" w:rsidRPr="005A583B" w:rsidRDefault="003B61CA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</w:p>
    <w:p w14:paraId="2ED88E3E" w14:textId="77777777" w:rsidR="005A583B" w:rsidRDefault="005A583B" w:rsidP="005A583B">
      <w:pPr>
        <w:spacing w:after="160" w:line="278" w:lineRule="auto"/>
        <w:rPr>
          <w:rFonts w:asciiTheme="minorHAnsi"/>
          <w:b/>
          <w:bCs/>
          <w:kern w:val="2"/>
          <w:sz w:val="24"/>
          <w:szCs w:val="24"/>
          <w14:ligatures w14:val="standardContextual"/>
        </w:rPr>
      </w:pPr>
    </w:p>
    <w:p w14:paraId="62448C76" w14:textId="5AD6B9DA" w:rsidR="005A583B" w:rsidRDefault="005A583B" w:rsidP="005A583B">
      <w:pPr>
        <w:spacing w:after="160" w:line="278" w:lineRule="auto"/>
        <w:rPr>
          <w:rFonts w:asciiTheme="minorHAnsi"/>
          <w:b/>
          <w:bCs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 xml:space="preserve">A védőoltások </w:t>
      </w:r>
      <w:r w:rsidR="008034C0"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>működnek és</w:t>
      </w: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 xml:space="preserve"> biztonságosak</w:t>
      </w:r>
      <w:r>
        <w:rPr>
          <w:rFonts w:asciiTheme="minorHAnsi"/>
          <w:b/>
          <w:bCs/>
          <w:kern w:val="2"/>
          <w:sz w:val="24"/>
          <w:szCs w:val="24"/>
          <w14:ligatures w14:val="standardContextual"/>
        </w:rPr>
        <w:t>:</w:t>
      </w:r>
    </w:p>
    <w:p w14:paraId="67C2F7C3" w14:textId="24E78E23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A védőoltás elsősorban a súlyos, kórházi kezelést igénylő és halálos kimenetelű eseteket akadályozza meg, továbbá jelentősen mérsékli a </w:t>
      </w:r>
      <w:proofErr w:type="spellStart"/>
      <w:r w:rsidRPr="005A583B">
        <w:rPr>
          <w:rFonts w:asciiTheme="minorHAnsi"/>
          <w:kern w:val="2"/>
          <w:sz w:val="24"/>
          <w:szCs w:val="24"/>
          <w14:ligatures w14:val="standardContextual"/>
        </w:rPr>
        <w:t>long</w:t>
      </w:r>
      <w:proofErr w:type="spellEnd"/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COVID kockázatát is. Bár előfordulhat, hogy egyesek az oltás ellenére is elkapják a COVID-ot, ezekben az esetekben is enyhébb a betegség lefolyása.</w:t>
      </w:r>
    </w:p>
    <w:p w14:paraId="3DA7F265" w14:textId="0EF3B685" w:rsidR="00544A05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Egy 99 millió főn végzett nemzetközi vizsgálat eredményei szerint a súlyos oltási mellékhatások rendkívül ritkák,</w:t>
      </w:r>
      <w:r w:rsidR="00FA55B2">
        <w:rPr>
          <w:rFonts w:asciiTheme="minorHAnsi"/>
          <w:kern w:val="2"/>
          <w:sz w:val="24"/>
          <w:szCs w:val="24"/>
          <w14:ligatures w14:val="standardContextual"/>
        </w:rPr>
        <w:t xml:space="preserve"> miközben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az oltás előnyei messze meghaladják az esetleges kockázatokat (lásd: </w:t>
      </w:r>
      <w:commentRangeStart w:id="1"/>
      <w:proofErr w:type="spellStart"/>
      <w:r w:rsidRPr="005A583B">
        <w:rPr>
          <w:rFonts w:asciiTheme="minorHAnsi"/>
          <w:kern w:val="2"/>
          <w:sz w:val="24"/>
          <w:szCs w:val="24"/>
          <w14:ligatures w14:val="standardContextual"/>
        </w:rPr>
        <w:t>PubMed</w:t>
      </w:r>
      <w:proofErr w:type="spellEnd"/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38350768</w:t>
      </w:r>
      <w:commentRangeEnd w:id="1"/>
      <w:r w:rsidR="008034C0">
        <w:rPr>
          <w:rStyle w:val="Jegyzethivatkozs"/>
        </w:rPr>
        <w:commentReference w:id="1"/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).</w:t>
      </w:r>
    </w:p>
    <w:p w14:paraId="22C6213A" w14:textId="0509A24A" w:rsidR="003B61CA" w:rsidRDefault="003B61CA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hyperlink r:id="rId10" w:history="1">
        <w:r w:rsidRPr="00ED4940">
          <w:rPr>
            <w:rStyle w:val="Hiperhivatkozs"/>
            <w:rFonts w:asciiTheme="minorHAnsi"/>
            <w:kern w:val="2"/>
            <w:sz w:val="24"/>
            <w:szCs w:val="24"/>
            <w14:ligatures w14:val="standardContextual"/>
          </w:rPr>
          <w:t>https://pubmed.ncbi.nlm.nih.gov/38350768/</w:t>
        </w:r>
      </w:hyperlink>
    </w:p>
    <w:p w14:paraId="0B6BE99B" w14:textId="77777777" w:rsidR="003B61CA" w:rsidRPr="005A583B" w:rsidRDefault="003B61CA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</w:p>
    <w:p w14:paraId="6F0ADE83" w14:textId="77777777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Az emlékeztető (</w:t>
      </w:r>
      <w:proofErr w:type="spellStart"/>
      <w:r w:rsidRPr="005A583B">
        <w:rPr>
          <w:rFonts w:asciiTheme="minorHAnsi"/>
          <w:kern w:val="2"/>
          <w:sz w:val="24"/>
          <w:szCs w:val="24"/>
          <w14:ligatures w14:val="standardContextual"/>
        </w:rPr>
        <w:t>booster</w:t>
      </w:r>
      <w:proofErr w:type="spellEnd"/>
      <w:r w:rsidRPr="005A583B">
        <w:rPr>
          <w:rFonts w:asciiTheme="minorHAnsi"/>
          <w:kern w:val="2"/>
          <w:sz w:val="24"/>
          <w:szCs w:val="24"/>
          <w14:ligatures w14:val="standardContextual"/>
        </w:rPr>
        <w:t>) oltások tovább növelik a védettséget, főleg azok körében, akik utoljára több mint 6-12 hónapja kaptak védőoltást.</w:t>
      </w:r>
    </w:p>
    <w:p w14:paraId="2BCEABB1" w14:textId="77777777" w:rsid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>Félretájékoztatás – a bizalom egyik legnagyobb ellensége</w:t>
      </w:r>
      <w:r>
        <w:rPr>
          <w:rFonts w:asciiTheme="minorHAnsi"/>
          <w:kern w:val="2"/>
          <w:sz w:val="24"/>
          <w:szCs w:val="24"/>
          <w14:ligatures w14:val="standardContextual"/>
        </w:rPr>
        <w:t xml:space="preserve">: </w:t>
      </w:r>
    </w:p>
    <w:p w14:paraId="5C7178C9" w14:textId="77777777" w:rsid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Az interneten és a közösségi médiában gyorsan terjednek megalapozatlan, sőt veszélyes tévhitek, álhírek és </w:t>
      </w:r>
      <w:proofErr w:type="spellStart"/>
      <w:r w:rsidRPr="005A583B">
        <w:rPr>
          <w:rFonts w:asciiTheme="minorHAnsi"/>
          <w:kern w:val="2"/>
          <w:sz w:val="24"/>
          <w:szCs w:val="24"/>
          <w14:ligatures w14:val="standardContextual"/>
        </w:rPr>
        <w:t>konteók</w:t>
      </w:r>
      <w:proofErr w:type="spellEnd"/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. Ezek nemcsak megzavarják az eligazodást, de csökkentik a lakosság bizalmát, veszélybe sodorhatják a közösség legérzékenyebb tagjait is. </w:t>
      </w:r>
    </w:p>
    <w:p w14:paraId="0F072EEB" w14:textId="329D6D28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Különösen fontos, hogy mindenki megbízható, tudományosan megalapozott forrásból tájékozódjon!</w:t>
      </w:r>
    </w:p>
    <w:p w14:paraId="219FB36E" w14:textId="4258E3C8" w:rsidR="00544A05" w:rsidRPr="005A583B" w:rsidRDefault="005A583B" w:rsidP="005A583B">
      <w:pPr>
        <w:spacing w:after="160" w:line="278" w:lineRule="auto"/>
        <w:rPr>
          <w:rFonts w:asciiTheme="minorHAnsi"/>
          <w:b/>
          <w:bCs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>Mit tehet</w:t>
      </w:r>
      <w:r w:rsidR="009749EA">
        <w:rPr>
          <w:rFonts w:asciiTheme="minorHAnsi"/>
          <w:b/>
          <w:bCs/>
          <w:kern w:val="2"/>
          <w:sz w:val="24"/>
          <w:szCs w:val="24"/>
          <w14:ligatures w14:val="standardContextual"/>
        </w:rPr>
        <w:t xml:space="preserve"> Ön</w:t>
      </w: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 xml:space="preserve"> </w:t>
      </w:r>
      <w:r w:rsidR="00FA55B2">
        <w:rPr>
          <w:rFonts w:asciiTheme="minorHAnsi"/>
          <w:b/>
          <w:bCs/>
          <w:kern w:val="2"/>
          <w:sz w:val="24"/>
          <w:szCs w:val="24"/>
          <w14:ligatures w14:val="standardContextual"/>
        </w:rPr>
        <w:t>idén ősszel</w:t>
      </w:r>
      <w:r w:rsidRPr="005A583B">
        <w:rPr>
          <w:rFonts w:asciiTheme="minorHAnsi"/>
          <w:b/>
          <w:bCs/>
          <w:kern w:val="2"/>
          <w:sz w:val="24"/>
          <w:szCs w:val="24"/>
          <w14:ligatures w14:val="standardContextual"/>
        </w:rPr>
        <w:t>?</w:t>
      </w:r>
    </w:p>
    <w:p w14:paraId="2907A124" w14:textId="3C750C3D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Kérdezz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en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orvos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ától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, gyógyszerész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é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től az aktuális vakcinákról – különösen, </w:t>
      </w:r>
      <w:r w:rsidR="00FA55B2" w:rsidRPr="00FA55B2">
        <w:rPr>
          <w:rFonts w:asciiTheme="minorHAnsi"/>
          <w:kern w:val="2"/>
          <w:sz w:val="24"/>
          <w:szCs w:val="24"/>
          <w14:ligatures w14:val="standardContextual"/>
        </w:rPr>
        <w:t xml:space="preserve">ha 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Ön</w:t>
      </w:r>
      <w:r w:rsidR="00FA55B2" w:rsidRPr="00FA55B2">
        <w:rPr>
          <w:rFonts w:asciiTheme="minorHAnsi"/>
          <w:kern w:val="2"/>
          <w:sz w:val="24"/>
          <w:szCs w:val="24"/>
          <w14:ligatures w14:val="standardContextual"/>
        </w:rPr>
        <w:t xml:space="preserve"> vagy családtagjai a kockázati csoportba tartoz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nak</w:t>
      </w:r>
      <w:r w:rsidR="00FA55B2">
        <w:rPr>
          <w:rFonts w:asciiTheme="minorHAnsi"/>
          <w:kern w:val="2"/>
          <w:sz w:val="24"/>
          <w:szCs w:val="24"/>
          <w14:ligatures w14:val="standardContextual"/>
        </w:rPr>
        <w:t xml:space="preserve">. 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Támogas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sa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család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ját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, közösség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ét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a tudatos, felelős döntésekben.</w:t>
      </w:r>
    </w:p>
    <w:p w14:paraId="24BD9A20" w14:textId="128C251B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Ossz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on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meg hiteles, tudományosan megalapozott információkat.</w:t>
      </w:r>
    </w:p>
    <w:p w14:paraId="18CE925F" w14:textId="0BD3DFED" w:rsidR="00544A05" w:rsidRPr="005A583B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Ne hagy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ja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szó nélkül a tévedéseket – segíts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en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azoknak, akik bizonytalanok.</w:t>
      </w:r>
    </w:p>
    <w:p w14:paraId="47D20AB2" w14:textId="31A16E18" w:rsidR="00544A05" w:rsidRDefault="005A583B" w:rsidP="005A583B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  <w:r w:rsidRPr="005A583B">
        <w:rPr>
          <w:rFonts w:asciiTheme="minorHAnsi"/>
          <w:kern w:val="2"/>
          <w:sz w:val="24"/>
          <w:szCs w:val="24"/>
          <w14:ligatures w14:val="standardContextual"/>
        </w:rPr>
        <w:t>Véd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je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meg mag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át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, szeretteit és a közösség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é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>t – tájékozódj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on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felelősen, válas</w:t>
      </w:r>
      <w:r w:rsidR="009749EA">
        <w:rPr>
          <w:rFonts w:asciiTheme="minorHAnsi"/>
          <w:kern w:val="2"/>
          <w:sz w:val="24"/>
          <w:szCs w:val="24"/>
          <w14:ligatures w14:val="standardContextual"/>
        </w:rPr>
        <w:t>sza</w:t>
      </w:r>
      <w:r w:rsidRPr="005A583B">
        <w:rPr>
          <w:rFonts w:asciiTheme="minorHAnsi"/>
          <w:kern w:val="2"/>
          <w:sz w:val="24"/>
          <w:szCs w:val="24"/>
          <w14:ligatures w14:val="standardContextual"/>
        </w:rPr>
        <w:t xml:space="preserve"> a tudományt!</w:t>
      </w:r>
    </w:p>
    <w:p w14:paraId="5A3D9612" w14:textId="77777777" w:rsidR="006F69F1" w:rsidRDefault="006F69F1" w:rsidP="006F69F1">
      <w:pPr>
        <w:rPr>
          <w:b/>
          <w:bCs/>
        </w:rPr>
      </w:pPr>
    </w:p>
    <w:p w14:paraId="2CD9C65D" w14:textId="1E00408A" w:rsidR="006F69F1" w:rsidRPr="006F69F1" w:rsidRDefault="006F69F1" w:rsidP="006F69F1">
      <w:pPr>
        <w:spacing w:after="160" w:line="278" w:lineRule="auto"/>
        <w:rPr>
          <w:rFonts w:asciiTheme="minorHAnsi"/>
          <w:b/>
          <w:bCs/>
          <w:kern w:val="2"/>
          <w:sz w:val="24"/>
          <w:szCs w:val="24"/>
          <w14:ligatures w14:val="standardContextual"/>
        </w:rPr>
      </w:pPr>
      <w:r w:rsidRPr="006F69F1">
        <w:rPr>
          <w:rFonts w:asciiTheme="minorHAnsi"/>
          <w:b/>
          <w:bCs/>
          <w:kern w:val="2"/>
          <w:sz w:val="24"/>
          <w:szCs w:val="24"/>
          <w14:ligatures w14:val="standardContextual"/>
        </w:rPr>
        <w:t xml:space="preserve">A COVID–19 elleni védőoltásokkal kapcsolatos </w:t>
      </w:r>
      <w:r w:rsidR="004F6DC5">
        <w:rPr>
          <w:rFonts w:asciiTheme="minorHAnsi"/>
          <w:b/>
          <w:bCs/>
          <w:kern w:val="2"/>
          <w:sz w:val="24"/>
          <w:szCs w:val="24"/>
          <w14:ligatures w14:val="standardContextual"/>
        </w:rPr>
        <w:t>tények és</w:t>
      </w:r>
      <w:r w:rsidRPr="006F69F1">
        <w:rPr>
          <w:rFonts w:asciiTheme="minorHAnsi"/>
          <w:b/>
          <w:bCs/>
          <w:kern w:val="2"/>
          <w:sz w:val="24"/>
          <w:szCs w:val="24"/>
          <w14:ligatures w14:val="standardContextual"/>
        </w:rPr>
        <w:t xml:space="preserve"> tévhitek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6F69F1" w:rsidRPr="006F69F1" w14:paraId="3E147E98" w14:textId="77777777" w:rsidTr="006F69F1">
        <w:tc>
          <w:tcPr>
            <w:tcW w:w="4750" w:type="dxa"/>
          </w:tcPr>
          <w:p w14:paraId="7031AB88" w14:textId="7F34ABCB" w:rsidR="006F69F1" w:rsidRPr="006F69F1" w:rsidRDefault="006F69F1" w:rsidP="005A583B">
            <w:pPr>
              <w:spacing w:after="160" w:line="278" w:lineRule="auto"/>
              <w:rPr>
                <w:rFonts w:asciiTheme="minorHAnsi" w:cs="Arial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6F69F1">
              <w:rPr>
                <w:rFonts w:asciiTheme="minorHAnsi" w:cs="Arial"/>
                <w:b/>
                <w:bCs/>
                <w:kern w:val="2"/>
                <w:sz w:val="24"/>
                <w:szCs w:val="24"/>
                <w14:ligatures w14:val="standardContextual"/>
              </w:rPr>
              <w:lastRenderedPageBreak/>
              <w:t>TÉVHITEK</w:t>
            </w:r>
          </w:p>
        </w:tc>
        <w:tc>
          <w:tcPr>
            <w:tcW w:w="4750" w:type="dxa"/>
          </w:tcPr>
          <w:p w14:paraId="3C8E670F" w14:textId="7037BFFE" w:rsidR="006F69F1" w:rsidRPr="006F69F1" w:rsidRDefault="006F69F1" w:rsidP="005A583B">
            <w:pPr>
              <w:spacing w:after="160" w:line="278" w:lineRule="auto"/>
              <w:rPr>
                <w:rFonts w:asciiTheme="minorHAnsi" w:cs="Arial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6F69F1">
              <w:rPr>
                <w:rFonts w:asciiTheme="minorHAnsi" w:cs="Arial"/>
                <w:b/>
                <w:bCs/>
                <w:kern w:val="2"/>
                <w:sz w:val="24"/>
                <w:szCs w:val="24"/>
                <w14:ligatures w14:val="standardContextual"/>
              </w:rPr>
              <w:t>TÉNYEK</w:t>
            </w:r>
          </w:p>
        </w:tc>
      </w:tr>
      <w:tr w:rsidR="006F69F1" w:rsidRPr="006F69F1" w14:paraId="1A43D1A3" w14:textId="77777777" w:rsidTr="006F69F1">
        <w:tc>
          <w:tcPr>
            <w:tcW w:w="4750" w:type="dxa"/>
          </w:tcPr>
          <w:p w14:paraId="33496662" w14:textId="74074554" w:rsidR="006F69F1" w:rsidRPr="006F69F1" w:rsidRDefault="006F69F1" w:rsidP="005A583B">
            <w:pPr>
              <w:spacing w:after="160" w:line="278" w:lineRule="auto"/>
              <w:rPr>
                <w:rFonts w:asciiTheme="minorHAnsi" w:cs="Arial"/>
                <w:kern w:val="2"/>
                <w:sz w:val="24"/>
                <w:szCs w:val="24"/>
                <w14:ligatures w14:val="standardContextual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COVID–19 vakcinák nem biztonságosak.</w:t>
            </w:r>
          </w:p>
        </w:tc>
        <w:tc>
          <w:tcPr>
            <w:tcW w:w="4750" w:type="dxa"/>
          </w:tcPr>
          <w:p w14:paraId="21E99D4A" w14:textId="05C9F2ED" w:rsidR="006F69F1" w:rsidRPr="006F69F1" w:rsidRDefault="006F69F1" w:rsidP="005A583B">
            <w:pPr>
              <w:spacing w:after="160" w:line="278" w:lineRule="auto"/>
              <w:rPr>
                <w:rFonts w:asciiTheme="minorHAnsi" w:cs="Arial"/>
                <w:kern w:val="2"/>
                <w:sz w:val="24"/>
                <w:szCs w:val="24"/>
                <w14:ligatures w14:val="standardContextual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Minden vakcinát – így a COVID–19 elleni vakcinákat is, szigorú biztonságossági és hatékonysági vizsgálatoknak vetnek alá. 2022 márciusáig az Európai Unióban több mint 866 millió adag COVID–19 elleni vakcinát adtak be.</w:t>
            </w:r>
          </w:p>
        </w:tc>
      </w:tr>
      <w:tr w:rsidR="006F69F1" w:rsidRPr="006F69F1" w14:paraId="0F9907BD" w14:textId="77777777" w:rsidTr="006F69F1">
        <w:tc>
          <w:tcPr>
            <w:tcW w:w="4750" w:type="dxa"/>
          </w:tcPr>
          <w:p w14:paraId="36CE2512" w14:textId="0B2B2606" w:rsidR="006F69F1" w:rsidRPr="006F69F1" w:rsidRDefault="006F69F1" w:rsidP="005A583B">
            <w:pPr>
              <w:spacing w:after="160" w:line="278" w:lineRule="auto"/>
              <w:rPr>
                <w:rFonts w:asciiTheme="minorHAnsi" w:cs="Arial"/>
                <w:kern w:val="2"/>
                <w:sz w:val="24"/>
                <w:szCs w:val="24"/>
                <w14:ligatures w14:val="standardContextual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COVID–19 vakcinák nem hatékonyak.</w:t>
            </w:r>
          </w:p>
        </w:tc>
        <w:tc>
          <w:tcPr>
            <w:tcW w:w="4750" w:type="dxa"/>
          </w:tcPr>
          <w:p w14:paraId="1D70E8A0" w14:textId="29E84E25" w:rsidR="006F69F1" w:rsidRPr="006F69F1" w:rsidRDefault="006F69F1" w:rsidP="006F69F1">
            <w:pPr>
              <w:jc w:val="both"/>
              <w:rPr>
                <w:rFonts w:asciiTheme="minorHAnsi" w:cs="Arial"/>
                <w:sz w:val="24"/>
                <w:szCs w:val="24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Az EU-ban engedélyezett COVID–19 vakcinák rendkívül hatékonyak a súlyos megbetegedések, a kórházi kezelések és a halálesetek megelőzésében.</w:t>
            </w:r>
          </w:p>
        </w:tc>
      </w:tr>
      <w:tr w:rsidR="006F69F1" w:rsidRPr="006F69F1" w14:paraId="681C28C0" w14:textId="77777777" w:rsidTr="006F69F1">
        <w:tc>
          <w:tcPr>
            <w:tcW w:w="4750" w:type="dxa"/>
          </w:tcPr>
          <w:p w14:paraId="7CCA8751" w14:textId="1F29783A" w:rsidR="006F69F1" w:rsidRPr="006F69F1" w:rsidRDefault="006F69F1" w:rsidP="005A583B">
            <w:pPr>
              <w:spacing w:after="160" w:line="278" w:lineRule="auto"/>
              <w:rPr>
                <w:rFonts w:asciiTheme="minorHAnsi" w:cs="Arial"/>
                <w:kern w:val="2"/>
                <w:sz w:val="24"/>
                <w:szCs w:val="24"/>
                <w14:ligatures w14:val="standardContextual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COVID–19 vakcinák veszélyes összetevőket tartalmaznak.</w:t>
            </w:r>
          </w:p>
        </w:tc>
        <w:tc>
          <w:tcPr>
            <w:tcW w:w="4750" w:type="dxa"/>
          </w:tcPr>
          <w:p w14:paraId="00B62E55" w14:textId="062A1A04" w:rsidR="006F69F1" w:rsidRPr="006F69F1" w:rsidRDefault="006F69F1" w:rsidP="006F69F1">
            <w:pPr>
              <w:jc w:val="both"/>
              <w:rPr>
                <w:rFonts w:asciiTheme="minorHAnsi" w:cs="Arial"/>
                <w:sz w:val="24"/>
                <w:szCs w:val="24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vakcinák összetevői között olyan anyagok is megtalálhatók, amelyek más élelmiszerekben is jelen vannak – például zsírok, cukrok és sók. Nem tartalmaznak tartósítószereket, szöveteket (például abortált magzati sejteket), antibiotikumokat, élelmiszerfehérjéket, gyógyszereket, latexet vagy fémeket.</w:t>
            </w:r>
          </w:p>
        </w:tc>
      </w:tr>
      <w:tr w:rsidR="006F69F1" w:rsidRPr="006F69F1" w14:paraId="28F3E615" w14:textId="77777777" w:rsidTr="006F69F1">
        <w:tc>
          <w:tcPr>
            <w:tcW w:w="4750" w:type="dxa"/>
          </w:tcPr>
          <w:p w14:paraId="1B543E99" w14:textId="1A42E1B2" w:rsidR="006F69F1" w:rsidRPr="006F69F1" w:rsidRDefault="006F69F1" w:rsidP="005A583B">
            <w:pPr>
              <w:spacing w:after="160" w:line="278" w:lineRule="auto"/>
              <w:rPr>
                <w:rFonts w:asciiTheme="minorHAnsi" w:cs="Arial"/>
                <w:kern w:val="2"/>
                <w:sz w:val="24"/>
                <w:szCs w:val="24"/>
                <w14:ligatures w14:val="standardContextual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COVID–19 vakcinák különböző variánsok kialakulását okozzák.</w:t>
            </w:r>
          </w:p>
        </w:tc>
        <w:tc>
          <w:tcPr>
            <w:tcW w:w="4750" w:type="dxa"/>
          </w:tcPr>
          <w:p w14:paraId="09F2214B" w14:textId="169596C0" w:rsidR="006F69F1" w:rsidRPr="006F69F1" w:rsidRDefault="006F69F1" w:rsidP="006F69F1">
            <w:pPr>
              <w:jc w:val="both"/>
              <w:rPr>
                <w:rFonts w:asciiTheme="minorHAnsi" w:cs="Arial"/>
                <w:sz w:val="24"/>
                <w:szCs w:val="24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COVID–19 elleni vakcinák nem okozzák új variánsok kialakulását. Épp ellenkezőleg: segítenek megakadályozni a vírus terjedését és mutációját.</w:t>
            </w:r>
          </w:p>
        </w:tc>
      </w:tr>
      <w:tr w:rsidR="006F69F1" w:rsidRPr="006F69F1" w14:paraId="7FBC7387" w14:textId="77777777" w:rsidTr="006F69F1">
        <w:tc>
          <w:tcPr>
            <w:tcW w:w="4750" w:type="dxa"/>
          </w:tcPr>
          <w:p w14:paraId="2FCE7112" w14:textId="2B8227A1" w:rsidR="006F69F1" w:rsidRPr="006F69F1" w:rsidRDefault="006F69F1" w:rsidP="005A583B">
            <w:pPr>
              <w:spacing w:after="160" w:line="278" w:lineRule="auto"/>
              <w:rPr>
                <w:rFonts w:asciiTheme="minorHAnsi" w:cs="Arial"/>
                <w:kern w:val="2"/>
                <w:sz w:val="24"/>
                <w:szCs w:val="24"/>
                <w14:ligatures w14:val="standardContextual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COVID–19 vakcinák mikrocsipeket tartalmaznak.</w:t>
            </w:r>
          </w:p>
        </w:tc>
        <w:tc>
          <w:tcPr>
            <w:tcW w:w="4750" w:type="dxa"/>
          </w:tcPr>
          <w:p w14:paraId="1DD49748" w14:textId="02DDAD62" w:rsidR="006F69F1" w:rsidRPr="006F69F1" w:rsidRDefault="006F69F1" w:rsidP="006F69F1">
            <w:pPr>
              <w:jc w:val="both"/>
              <w:rPr>
                <w:rFonts w:asciiTheme="minorHAnsi" w:cs="Arial"/>
                <w:sz w:val="24"/>
                <w:szCs w:val="24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vakcinák nem tartalmaznak mikrocsipeket. Céljuk a betegségek elleni védelem, nem pedig a személyek nyomon követése.</w:t>
            </w:r>
          </w:p>
        </w:tc>
      </w:tr>
      <w:tr w:rsidR="006F69F1" w:rsidRPr="006F69F1" w14:paraId="6BCCD67C" w14:textId="77777777" w:rsidTr="006F69F1">
        <w:tc>
          <w:tcPr>
            <w:tcW w:w="4750" w:type="dxa"/>
          </w:tcPr>
          <w:p w14:paraId="36FF90BF" w14:textId="1BE57642" w:rsidR="006F69F1" w:rsidRPr="006F69F1" w:rsidRDefault="006F69F1" w:rsidP="005A583B">
            <w:pPr>
              <w:spacing w:after="160" w:line="278" w:lineRule="auto"/>
              <w:rPr>
                <w:rFonts w:asciiTheme="minorHAnsi" w:cs="Arial"/>
                <w:sz w:val="24"/>
                <w:szCs w:val="24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COVID–19 vakcinák megváltoztatják az ember DNS-ét.</w:t>
            </w:r>
          </w:p>
        </w:tc>
        <w:tc>
          <w:tcPr>
            <w:tcW w:w="4750" w:type="dxa"/>
          </w:tcPr>
          <w:p w14:paraId="0560C0B0" w14:textId="20BA1848" w:rsidR="006F69F1" w:rsidRPr="006F69F1" w:rsidRDefault="006F69F1" w:rsidP="006F69F1">
            <w:pPr>
              <w:jc w:val="both"/>
              <w:rPr>
                <w:rFonts w:asciiTheme="minorHAnsi" w:cs="Arial"/>
                <w:sz w:val="24"/>
                <w:szCs w:val="24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vakcinák utasításokat adnak a sejteknek, amelyek így képesek védekezni a COVID–19 vírus ellen. Az immunválasz kialakulása után a szervezet lebontja és eltávolítja a vakcina összetevőit, ahogy minden olyan információt is, amelyre már nincs szükség.</w:t>
            </w:r>
          </w:p>
        </w:tc>
      </w:tr>
      <w:tr w:rsidR="006F69F1" w:rsidRPr="006F69F1" w14:paraId="4C8755BA" w14:textId="77777777" w:rsidTr="006F69F1">
        <w:tc>
          <w:tcPr>
            <w:tcW w:w="4750" w:type="dxa"/>
          </w:tcPr>
          <w:p w14:paraId="48231C70" w14:textId="440CB7F4" w:rsidR="006F69F1" w:rsidRPr="006F69F1" w:rsidRDefault="006F69F1" w:rsidP="005A583B">
            <w:pPr>
              <w:spacing w:after="160" w:line="278" w:lineRule="auto"/>
              <w:rPr>
                <w:rFonts w:asciiTheme="minorHAnsi" w:cs="Arial"/>
                <w:sz w:val="24"/>
                <w:szCs w:val="24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A COVID–19 vakcinák hatással vannak a termékenységre.</w:t>
            </w:r>
          </w:p>
        </w:tc>
        <w:tc>
          <w:tcPr>
            <w:tcW w:w="4750" w:type="dxa"/>
          </w:tcPr>
          <w:p w14:paraId="0606C384" w14:textId="304D42F6" w:rsidR="006F69F1" w:rsidRPr="006F69F1" w:rsidRDefault="006F69F1" w:rsidP="006F69F1">
            <w:pPr>
              <w:jc w:val="both"/>
              <w:rPr>
                <w:rFonts w:asciiTheme="minorHAnsi" w:cs="Arial"/>
                <w:sz w:val="24"/>
                <w:szCs w:val="24"/>
              </w:rPr>
            </w:pPr>
            <w:r w:rsidRPr="006F69F1">
              <w:rPr>
                <w:rFonts w:asciiTheme="minorHAnsi" w:cs="Arial"/>
                <w:sz w:val="24"/>
                <w:szCs w:val="24"/>
              </w:rPr>
              <w:t>Nincs tudományos bizonyíték arra, hogy bármely vakcina, beleértve a COVID–19 elleni vakcinákat is, termékenységi problémát okozna nőkben vagy férfiakban.</w:t>
            </w:r>
          </w:p>
        </w:tc>
      </w:tr>
    </w:tbl>
    <w:p w14:paraId="051479AE" w14:textId="662E644C" w:rsidR="00783E7F" w:rsidRPr="005A583B" w:rsidRDefault="00783E7F" w:rsidP="006F69F1">
      <w:pPr>
        <w:spacing w:after="160" w:line="278" w:lineRule="auto"/>
        <w:rPr>
          <w:rFonts w:asciiTheme="minorHAnsi"/>
          <w:kern w:val="2"/>
          <w:sz w:val="24"/>
          <w:szCs w:val="24"/>
          <w14:ligatures w14:val="standardContextual"/>
        </w:rPr>
      </w:pPr>
    </w:p>
    <w:sectPr w:rsidR="00783E7F" w:rsidRPr="005A583B">
      <w:pgSz w:w="12240" w:h="15840"/>
      <w:pgMar w:top="1365" w:right="1365" w:bottom="1365" w:left="1365" w:header="720" w:footer="720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b Melinda" w:date="2025-08-01T13:54:00Z" w:initials="MR">
    <w:p w14:paraId="334D8949" w14:textId="77777777" w:rsidR="003B61CA" w:rsidRDefault="008034C0" w:rsidP="003B61CA">
      <w:pPr>
        <w:pStyle w:val="Jegyzetszveg"/>
      </w:pPr>
      <w:r>
        <w:rPr>
          <w:rStyle w:val="Jegyzethivatkozs"/>
        </w:rPr>
        <w:annotationRef/>
      </w:r>
      <w:r w:rsidR="003B61CA">
        <w:t>Ez egy kattinthat</w:t>
      </w:r>
      <w:r w:rsidR="003B61CA">
        <w:t>ó</w:t>
      </w:r>
      <w:r w:rsidR="003B61CA">
        <w:t xml:space="preserve"> hivatkoz</w:t>
      </w:r>
      <w:r w:rsidR="003B61CA">
        <w:t>á</w:t>
      </w:r>
      <w:r w:rsidR="003B61CA">
        <w:t>s legyen</w:t>
      </w:r>
    </w:p>
  </w:comment>
  <w:comment w:id="1" w:author="Rab Melinda" w:date="2025-08-01T13:55:00Z" w:initials="MR">
    <w:p w14:paraId="7AA4C39F" w14:textId="77777777" w:rsidR="003B61CA" w:rsidRDefault="008034C0" w:rsidP="003B61CA">
      <w:pPr>
        <w:pStyle w:val="Jegyzetszveg"/>
      </w:pPr>
      <w:r>
        <w:rPr>
          <w:rStyle w:val="Jegyzethivatkozs"/>
        </w:rPr>
        <w:annotationRef/>
      </w:r>
      <w:r w:rsidR="003B61CA">
        <w:t>ez is egy kattinthat</w:t>
      </w:r>
      <w:r w:rsidR="003B61CA">
        <w:t>ó</w:t>
      </w:r>
      <w:r w:rsidR="003B61CA">
        <w:t xml:space="preserve"> hivatkoz</w:t>
      </w:r>
      <w:r w:rsidR="003B61CA">
        <w:t>á</w:t>
      </w:r>
      <w:r w:rsidR="003B61CA">
        <w:t>s legyen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34D8949" w15:done="0"/>
  <w15:commentEx w15:paraId="7AA4C3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838FD91" w16cex:dateUtc="2025-08-01T11:54:00Z"/>
  <w16cex:commentExtensible w16cex:durableId="5B9AB6A9" w16cex:dateUtc="2025-08-01T1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34D8949" w16cid:durableId="7838FD91"/>
  <w16cid:commentId w16cid:paraId="7AA4C39F" w16cid:durableId="5B9AB6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42C2"/>
    <w:multiLevelType w:val="hybridMultilevel"/>
    <w:tmpl w:val="99862E9A"/>
    <w:lvl w:ilvl="0" w:tplc="4C2A5D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F8C958">
      <w:numFmt w:val="decimal"/>
      <w:lvlText w:val=""/>
      <w:lvlJc w:val="left"/>
    </w:lvl>
    <w:lvl w:ilvl="2" w:tplc="EF5E8B62">
      <w:numFmt w:val="decimal"/>
      <w:lvlText w:val=""/>
      <w:lvlJc w:val="left"/>
    </w:lvl>
    <w:lvl w:ilvl="3" w:tplc="A21E0092">
      <w:numFmt w:val="decimal"/>
      <w:lvlText w:val=""/>
      <w:lvlJc w:val="left"/>
    </w:lvl>
    <w:lvl w:ilvl="4" w:tplc="2B00E80E">
      <w:numFmt w:val="decimal"/>
      <w:lvlText w:val=""/>
      <w:lvlJc w:val="left"/>
    </w:lvl>
    <w:lvl w:ilvl="5" w:tplc="1A16474E">
      <w:numFmt w:val="decimal"/>
      <w:lvlText w:val=""/>
      <w:lvlJc w:val="left"/>
    </w:lvl>
    <w:lvl w:ilvl="6" w:tplc="E8BAADAE">
      <w:numFmt w:val="decimal"/>
      <w:lvlText w:val=""/>
      <w:lvlJc w:val="left"/>
    </w:lvl>
    <w:lvl w:ilvl="7" w:tplc="61268738">
      <w:numFmt w:val="decimal"/>
      <w:lvlText w:val=""/>
      <w:lvlJc w:val="left"/>
    </w:lvl>
    <w:lvl w:ilvl="8" w:tplc="DCBE137A">
      <w:numFmt w:val="decimal"/>
      <w:lvlText w:val=""/>
      <w:lvlJc w:val="left"/>
    </w:lvl>
  </w:abstractNum>
  <w:abstractNum w:abstractNumId="1" w15:restartNumberingAfterBreak="0">
    <w:nsid w:val="22943D02"/>
    <w:multiLevelType w:val="hybridMultilevel"/>
    <w:tmpl w:val="88B2BD60"/>
    <w:lvl w:ilvl="0" w:tplc="9404ED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BEA214">
      <w:numFmt w:val="decimal"/>
      <w:lvlText w:val=""/>
      <w:lvlJc w:val="left"/>
    </w:lvl>
    <w:lvl w:ilvl="2" w:tplc="49221DCC">
      <w:numFmt w:val="decimal"/>
      <w:lvlText w:val=""/>
      <w:lvlJc w:val="left"/>
    </w:lvl>
    <w:lvl w:ilvl="3" w:tplc="7BDE6990">
      <w:numFmt w:val="decimal"/>
      <w:lvlText w:val=""/>
      <w:lvlJc w:val="left"/>
    </w:lvl>
    <w:lvl w:ilvl="4" w:tplc="1ED09D56">
      <w:numFmt w:val="decimal"/>
      <w:lvlText w:val=""/>
      <w:lvlJc w:val="left"/>
    </w:lvl>
    <w:lvl w:ilvl="5" w:tplc="7E2CBCEE">
      <w:numFmt w:val="decimal"/>
      <w:lvlText w:val=""/>
      <w:lvlJc w:val="left"/>
    </w:lvl>
    <w:lvl w:ilvl="6" w:tplc="8A28A3A4">
      <w:numFmt w:val="decimal"/>
      <w:lvlText w:val=""/>
      <w:lvlJc w:val="left"/>
    </w:lvl>
    <w:lvl w:ilvl="7" w:tplc="53A8A5C6">
      <w:numFmt w:val="decimal"/>
      <w:lvlText w:val=""/>
      <w:lvlJc w:val="left"/>
    </w:lvl>
    <w:lvl w:ilvl="8" w:tplc="4B74171A">
      <w:numFmt w:val="decimal"/>
      <w:lvlText w:val=""/>
      <w:lvlJc w:val="left"/>
    </w:lvl>
  </w:abstractNum>
  <w:abstractNum w:abstractNumId="2" w15:restartNumberingAfterBreak="0">
    <w:nsid w:val="30CC402B"/>
    <w:multiLevelType w:val="hybridMultilevel"/>
    <w:tmpl w:val="D4160650"/>
    <w:lvl w:ilvl="0" w:tplc="7B9A6A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2862AE">
      <w:numFmt w:val="decimal"/>
      <w:lvlText w:val=""/>
      <w:lvlJc w:val="left"/>
    </w:lvl>
    <w:lvl w:ilvl="2" w:tplc="38407CE0">
      <w:numFmt w:val="decimal"/>
      <w:lvlText w:val=""/>
      <w:lvlJc w:val="left"/>
    </w:lvl>
    <w:lvl w:ilvl="3" w:tplc="19E26D8E">
      <w:numFmt w:val="decimal"/>
      <w:lvlText w:val=""/>
      <w:lvlJc w:val="left"/>
    </w:lvl>
    <w:lvl w:ilvl="4" w:tplc="3A9857F8">
      <w:numFmt w:val="decimal"/>
      <w:lvlText w:val=""/>
      <w:lvlJc w:val="left"/>
    </w:lvl>
    <w:lvl w:ilvl="5" w:tplc="5F3C0050">
      <w:numFmt w:val="decimal"/>
      <w:lvlText w:val=""/>
      <w:lvlJc w:val="left"/>
    </w:lvl>
    <w:lvl w:ilvl="6" w:tplc="4D58BCBA">
      <w:numFmt w:val="decimal"/>
      <w:lvlText w:val=""/>
      <w:lvlJc w:val="left"/>
    </w:lvl>
    <w:lvl w:ilvl="7" w:tplc="BD644E6A">
      <w:numFmt w:val="decimal"/>
      <w:lvlText w:val=""/>
      <w:lvlJc w:val="left"/>
    </w:lvl>
    <w:lvl w:ilvl="8" w:tplc="C2501902">
      <w:numFmt w:val="decimal"/>
      <w:lvlText w:val=""/>
      <w:lvlJc w:val="left"/>
    </w:lvl>
  </w:abstractNum>
  <w:abstractNum w:abstractNumId="3" w15:restartNumberingAfterBreak="0">
    <w:nsid w:val="7B2B7FBD"/>
    <w:multiLevelType w:val="hybridMultilevel"/>
    <w:tmpl w:val="A2763AFC"/>
    <w:lvl w:ilvl="0" w:tplc="5CDC00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5E6280">
      <w:numFmt w:val="decimal"/>
      <w:lvlText w:val=""/>
      <w:lvlJc w:val="left"/>
    </w:lvl>
    <w:lvl w:ilvl="2" w:tplc="5D866684">
      <w:numFmt w:val="decimal"/>
      <w:lvlText w:val=""/>
      <w:lvlJc w:val="left"/>
    </w:lvl>
    <w:lvl w:ilvl="3" w:tplc="51C2D2AE">
      <w:numFmt w:val="decimal"/>
      <w:lvlText w:val=""/>
      <w:lvlJc w:val="left"/>
    </w:lvl>
    <w:lvl w:ilvl="4" w:tplc="FD041A8E">
      <w:numFmt w:val="decimal"/>
      <w:lvlText w:val=""/>
      <w:lvlJc w:val="left"/>
    </w:lvl>
    <w:lvl w:ilvl="5" w:tplc="FE62A080">
      <w:numFmt w:val="decimal"/>
      <w:lvlText w:val=""/>
      <w:lvlJc w:val="left"/>
    </w:lvl>
    <w:lvl w:ilvl="6" w:tplc="EF18FEDA">
      <w:numFmt w:val="decimal"/>
      <w:lvlText w:val=""/>
      <w:lvlJc w:val="left"/>
    </w:lvl>
    <w:lvl w:ilvl="7" w:tplc="BF06D944">
      <w:numFmt w:val="decimal"/>
      <w:lvlText w:val=""/>
      <w:lvlJc w:val="left"/>
    </w:lvl>
    <w:lvl w:ilvl="8" w:tplc="8B1C4C22">
      <w:numFmt w:val="decimal"/>
      <w:lvlText w:val=""/>
      <w:lvlJc w:val="left"/>
    </w:lvl>
  </w:abstractNum>
  <w:num w:numId="1" w16cid:durableId="1482189516">
    <w:abstractNumId w:val="1"/>
  </w:num>
  <w:num w:numId="2" w16cid:durableId="721633570">
    <w:abstractNumId w:val="2"/>
  </w:num>
  <w:num w:numId="3" w16cid:durableId="907304218">
    <w:abstractNumId w:val="0"/>
  </w:num>
  <w:num w:numId="4" w16cid:durableId="4123120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b Melinda">
    <w15:presenceInfo w15:providerId="AD" w15:userId="S::melinda.rab@medicalscan.hu::83960659-576c-461e-a737-901513d260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A05"/>
    <w:rsid w:val="00091910"/>
    <w:rsid w:val="000A6035"/>
    <w:rsid w:val="000C1B80"/>
    <w:rsid w:val="00197240"/>
    <w:rsid w:val="001B0534"/>
    <w:rsid w:val="003B61CA"/>
    <w:rsid w:val="004F6DC5"/>
    <w:rsid w:val="00544A05"/>
    <w:rsid w:val="005A583B"/>
    <w:rsid w:val="006F69F1"/>
    <w:rsid w:val="00783E7F"/>
    <w:rsid w:val="008034C0"/>
    <w:rsid w:val="008F2BF5"/>
    <w:rsid w:val="009749EA"/>
    <w:rsid w:val="00A712C5"/>
    <w:rsid w:val="00A72385"/>
    <w:rsid w:val="00B76F24"/>
    <w:rsid w:val="00CA3C54"/>
    <w:rsid w:val="00D81434"/>
    <w:rsid w:val="00DA69E5"/>
    <w:rsid w:val="00E225D3"/>
    <w:rsid w:val="00F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43E1"/>
  <w15:docId w15:val="{67AC627A-A3C9-4BE4-9720-96F7A673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Vltozat">
    <w:name w:val="Revision"/>
    <w:hidden/>
    <w:uiPriority w:val="99"/>
    <w:semiHidden/>
    <w:rsid w:val="00FA55B2"/>
    <w:pPr>
      <w:spacing w:after="0" w:line="240" w:lineRule="auto"/>
    </w:pPr>
  </w:style>
  <w:style w:type="character" w:styleId="Jegyzethivatkozs">
    <w:name w:val="annotation reference"/>
    <w:basedOn w:val="Bekezdsalapbettpusa"/>
    <w:uiPriority w:val="99"/>
    <w:semiHidden/>
    <w:unhideWhenUsed/>
    <w:rsid w:val="008034C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8034C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8034C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034C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034C0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3B61C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B61CA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6F6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pubmed.ncbi.nlm.nih.gov/383507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8965510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657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Forrai Gábor</cp:lastModifiedBy>
  <cp:revision>9</cp:revision>
  <dcterms:created xsi:type="dcterms:W3CDTF">2025-08-01T11:08:00Z</dcterms:created>
  <dcterms:modified xsi:type="dcterms:W3CDTF">2025-08-04T11:53:00Z</dcterms:modified>
</cp:coreProperties>
</file>