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320" w:after="0"/>
        <w:jc w:val="center"/>
        <w:rPr>
          <w:rFonts w:ascii="Arial" w:hAnsi="Arial"/>
        </w:rPr>
      </w:pPr>
      <w:r>
        <w:rPr>
          <w:rFonts w:eastAsia="Google Sans" w:cs="Google Sans" w:ascii="Arial" w:hAnsi="Arial"/>
          <w:b/>
          <w:color w:val="4A86E8"/>
          <w:sz w:val="58"/>
          <w:szCs w:val="58"/>
        </w:rPr>
        <w:t>Vulnerability Assessment and Remediation Plan for Secure Remote Database Access</w:t>
      </w:r>
    </w:p>
    <w:p>
      <w:pPr>
        <w:pStyle w:val="Subtitle"/>
        <w:keepNext w:val="false"/>
        <w:keepLines w:val="false"/>
        <w:spacing w:lineRule="auto" w:line="240" w:before="0" w:after="0"/>
        <w:rPr>
          <w:rFonts w:ascii="Arial" w:hAnsi="Arial"/>
        </w:rPr>
      </w:pPr>
      <w:bookmarkStart w:id="0" w:name="_af80tl7prv5v"/>
      <w:bookmarkEnd w:id="0"/>
      <w:r>
        <w:rPr>
          <w:rFonts w:eastAsia="Google Sans" w:cs="Google Sans" w:ascii="Arial" w:hAnsi="Arial"/>
          <w:b/>
          <w:sz w:val="28"/>
          <w:szCs w:val="28"/>
        </w:rPr>
        <w:t>3rd</w:t>
      </w:r>
      <w:r>
        <w:rPr>
          <w:rFonts w:eastAsia="Google Sans" w:cs="Google Sans" w:ascii="Arial" w:hAnsi="Arial"/>
          <w:b/>
          <w:sz w:val="28"/>
          <w:szCs w:val="28"/>
        </w:rPr>
        <w:t xml:space="preserve"> J</w:t>
      </w:r>
      <w:r>
        <w:rPr>
          <w:rFonts w:eastAsia="Google Sans" w:cs="Google Sans" w:ascii="Arial" w:hAnsi="Arial"/>
          <w:b/>
          <w:sz w:val="28"/>
          <w:szCs w:val="28"/>
        </w:rPr>
        <w:t>une</w:t>
      </w:r>
      <w:r>
        <w:rPr>
          <w:rFonts w:eastAsia="Google Sans" w:cs="Google Sans" w:ascii="Arial" w:hAnsi="Arial"/>
          <w:b/>
          <w:sz w:val="28"/>
          <w:szCs w:val="28"/>
        </w:rPr>
        <w:t xml:space="preserve"> 20</w:t>
      </w:r>
      <w:r>
        <w:rPr>
          <w:rFonts w:eastAsia="Google Sans" w:cs="Google Sans" w:ascii="Arial" w:hAnsi="Arial"/>
          <w:b/>
          <w:sz w:val="28"/>
          <w:szCs w:val="28"/>
        </w:rPr>
        <w:t>24</w:t>
      </w:r>
    </w:p>
    <w:p>
      <w:pPr>
        <w:pStyle w:val="Subtitle"/>
        <w:keepNext w:val="false"/>
        <w:keepLines w:val="false"/>
        <w:spacing w:lineRule="auto" w:line="240" w:before="0" w:after="0"/>
        <w:rPr>
          <w:rFonts w:ascii="Arial" w:hAnsi="Arial"/>
        </w:rPr>
      </w:pPr>
      <w:bookmarkStart w:id="1" w:name="_nhcy8rpxthcf"/>
      <w:bookmarkEnd w:id="1"/>
      <w:r>
        <w:rPr>
          <w:rFonts w:ascii="Arial" w:hAnsi="Arial"/>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1"/>
        <w:keepNext w:val="false"/>
        <w:keepLines w:val="false"/>
        <w:spacing w:lineRule="auto" w:line="240" w:before="480" w:after="0"/>
        <w:rPr>
          <w:rFonts w:ascii="Arial" w:hAnsi="Arial"/>
        </w:rPr>
      </w:pPr>
      <w:bookmarkStart w:id="2" w:name="_buc6q0k08dmn"/>
      <w:bookmarkEnd w:id="2"/>
      <w:r>
        <w:rPr>
          <w:rFonts w:eastAsia="Proxima Nova" w:cs="Proxima Nova" w:ascii="Arial" w:hAnsi="Arial"/>
          <w:b/>
          <w:color w:val="353744"/>
          <w:sz w:val="28"/>
          <w:szCs w:val="28"/>
        </w:rPr>
        <w:t>System Description</w:t>
      </w:r>
    </w:p>
    <w:p>
      <w:pPr>
        <w:pStyle w:val="Normal1"/>
        <w:spacing w:lineRule="auto" w:line="312" w:before="200" w:after="0"/>
        <w:rPr>
          <w:rFonts w:ascii="Arial" w:hAnsi="Arial"/>
        </w:rPr>
      </w:pPr>
      <w:r>
        <w:rPr>
          <w:rFonts w:eastAsia="Google Sans" w:cs="Google Sans" w:ascii="Arial" w:hAnsi="Arial"/>
          <w:color w:val="353744"/>
        </w:rP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pPr>
        <w:pStyle w:val="Heading1"/>
        <w:keepNext w:val="false"/>
        <w:keepLines w:val="false"/>
        <w:spacing w:lineRule="auto" w:line="240" w:before="480" w:after="0"/>
        <w:rPr>
          <w:rFonts w:ascii="Arial" w:hAnsi="Arial"/>
        </w:rPr>
      </w:pPr>
      <w:bookmarkStart w:id="3" w:name="_e64wndl8jmz1"/>
      <w:bookmarkEnd w:id="3"/>
      <w:r>
        <w:rPr>
          <w:rFonts w:eastAsia="Proxima Nova" w:cs="Proxima Nova" w:ascii="Arial" w:hAnsi="Arial"/>
          <w:b/>
          <w:color w:val="353744"/>
          <w:sz w:val="28"/>
          <w:szCs w:val="28"/>
        </w:rPr>
        <w:t>Scope</w:t>
      </w:r>
    </w:p>
    <w:p>
      <w:pPr>
        <w:pStyle w:val="Normal1"/>
        <w:spacing w:lineRule="auto" w:line="312" w:before="200" w:after="0"/>
        <w:rPr/>
      </w:pPr>
      <w:r>
        <w:rPr>
          <w:rFonts w:eastAsia="Google Sans" w:cs="Google Sans" w:ascii="Arial" w:hAnsi="Arial"/>
          <w:color w:val="353744"/>
        </w:rPr>
        <w:t>The scope of this vulnerability assessment relates to the current access controls of the system. The assessment will cover a period of three months, from June 20</w:t>
      </w:r>
      <w:r>
        <w:rPr>
          <w:rFonts w:eastAsia="Google Sans" w:cs="Google Sans" w:ascii="Arial" w:hAnsi="Arial"/>
          <w:color w:val="353744"/>
        </w:rPr>
        <w:t>23</w:t>
      </w:r>
      <w:r>
        <w:rPr>
          <w:rFonts w:eastAsia="Google Sans" w:cs="Google Sans" w:ascii="Arial" w:hAnsi="Arial"/>
          <w:color w:val="353744"/>
        </w:rPr>
        <w:t xml:space="preserve"> to August 20</w:t>
      </w:r>
      <w:r>
        <w:rPr>
          <w:rFonts w:eastAsia="Google Sans" w:cs="Google Sans" w:ascii="Arial" w:hAnsi="Arial"/>
          <w:color w:val="353744"/>
        </w:rPr>
        <w:t>23</w:t>
      </w:r>
      <w:r>
        <w:rPr>
          <w:rFonts w:eastAsia="Google Sans" w:cs="Google Sans" w:ascii="Arial" w:hAnsi="Arial"/>
          <w:color w:val="353744"/>
        </w:rPr>
        <w:t xml:space="preserve">. </w:t>
      </w:r>
      <w:r>
        <w:fldChar w:fldCharType="begin"/>
      </w:r>
      <w:r>
        <w:rPr>
          <w:u w:val="single"/>
          <w:rFonts w:eastAsia="Google Sans" w:cs="Google Sans" w:ascii="Arial" w:hAnsi="Arial"/>
          <w:color w:val="1155CC"/>
        </w:rPr>
        <w:instrText> HYPERLINK "https://docs.google.com/document/d/1Fc4L2azQlnUM-8r43PU9mYlT30BnxTwdjAMqpT7JeZk/edit?resourcekey=0-Q-XglnC3Li7JPK2hIvMkVg" \l "heading=h.hvbcmqwzo9do"</w:instrText>
      </w:r>
      <w:r>
        <w:rPr>
          <w:u w:val="single"/>
          <w:rFonts w:eastAsia="Google Sans" w:cs="Google Sans" w:ascii="Arial" w:hAnsi="Arial"/>
          <w:color w:val="1155CC"/>
        </w:rPr>
        <w:fldChar w:fldCharType="separate"/>
      </w:r>
      <w:r>
        <w:rPr>
          <w:rFonts w:eastAsia="Google Sans" w:cs="Google Sans" w:ascii="Arial" w:hAnsi="Arial"/>
          <w:color w:val="1155CC"/>
          <w:u w:val="single"/>
        </w:rPr>
        <w:t>NIST SP 800-30 Rev. 1</w:t>
      </w:r>
      <w:r>
        <w:rPr>
          <w:u w:val="single"/>
          <w:rFonts w:eastAsia="Google Sans" w:cs="Google Sans" w:ascii="Arial" w:hAnsi="Arial"/>
          <w:color w:val="1155CC"/>
        </w:rPr>
        <w:fldChar w:fldCharType="end"/>
      </w:r>
      <w:r>
        <w:rPr>
          <w:rFonts w:eastAsia="Google Sans" w:cs="Google Sans" w:ascii="Arial" w:hAnsi="Arial"/>
          <w:color w:val="353744"/>
        </w:rPr>
        <w:t xml:space="preserve"> is used to guide the risk analysis of the information system.</w:t>
      </w:r>
    </w:p>
    <w:p>
      <w:pPr>
        <w:pStyle w:val="Heading1"/>
        <w:keepNext w:val="false"/>
        <w:keepLines w:val="false"/>
        <w:spacing w:lineRule="auto" w:line="240" w:before="480" w:after="0"/>
        <w:rPr>
          <w:rFonts w:ascii="Arial" w:hAnsi="Arial"/>
        </w:rPr>
      </w:pPr>
      <w:bookmarkStart w:id="4" w:name="_oymnw3nlvwib"/>
      <w:bookmarkEnd w:id="4"/>
      <w:r>
        <w:rPr>
          <w:rFonts w:eastAsia="Proxima Nova" w:cs="Proxima Nova" w:ascii="Arial" w:hAnsi="Arial"/>
          <w:b/>
          <w:color w:val="353744"/>
          <w:sz w:val="28"/>
          <w:szCs w:val="28"/>
        </w:rPr>
        <w:t>Purpose</w:t>
      </w:r>
    </w:p>
    <w:p>
      <w:pPr>
        <w:pStyle w:val="Normal1"/>
        <w:spacing w:lineRule="auto" w:line="360" w:before="200" w:after="200"/>
        <w:rPr>
          <w:rFonts w:ascii="Arial" w:hAnsi="Arial" w:eastAsia="Google Sans" w:cs="Google Sans"/>
          <w:b w:val="false"/>
          <w:i w:val="false"/>
          <w:i/>
          <w:caps w:val="false"/>
          <w:smallCaps w:val="false"/>
          <w:color w:val="353744"/>
          <w:spacing w:val="0"/>
          <w:sz w:val="22"/>
          <w:szCs w:val="22"/>
        </w:rPr>
      </w:pPr>
      <w:r>
        <w:rPr>
          <w:rFonts w:eastAsia="Google Sans" w:cs="Google Sans" w:ascii="Arial" w:hAnsi="Arial"/>
          <w:b w:val="false"/>
          <w:i w:val="false"/>
          <w:caps w:val="false"/>
          <w:smallCaps w:val="false"/>
          <w:color w:val="353744"/>
          <w:spacing w:val="0"/>
          <w:sz w:val="22"/>
          <w:szCs w:val="22"/>
        </w:rPr>
        <w:t xml:space="preserve">The database server works as a centralized repository for storing and managing extensive data, including customer information, campaign details, and analytics. This data is critical for tracking performance and personalizing marketing efforts. Therefore, securing the system is essential to maintain the integrity and confidentiality of the data, ensuring the continuous and secure operation of marketing activities. </w:t>
      </w:r>
    </w:p>
    <w:p>
      <w:pPr>
        <w:pStyle w:val="Heading1"/>
        <w:keepNext w:val="false"/>
        <w:keepLines w:val="false"/>
        <w:spacing w:lineRule="auto" w:line="240" w:before="480" w:after="0"/>
        <w:rPr>
          <w:rFonts w:ascii="Arial" w:hAnsi="Arial"/>
        </w:rPr>
      </w:pPr>
      <w:bookmarkStart w:id="5" w:name="_i2ip4lwifo50"/>
      <w:bookmarkEnd w:id="5"/>
      <w:r>
        <w:rPr>
          <w:rFonts w:eastAsia="Proxima Nova" w:cs="Proxima Nova" w:ascii="Arial" w:hAnsi="Arial"/>
          <w:b/>
          <w:color w:val="353744"/>
          <w:sz w:val="28"/>
          <w:szCs w:val="28"/>
        </w:rPr>
        <w:t>Risk Assessment</w:t>
      </w:r>
    </w:p>
    <w:p>
      <w:pPr>
        <w:pStyle w:val="Normal1"/>
        <w:spacing w:lineRule="auto" w:line="312"/>
        <w:rPr>
          <w:rFonts w:ascii="Arial" w:hAnsi="Arial" w:eastAsia="Google Sans" w:cs="Google Sans"/>
          <w:color w:val="353744"/>
        </w:rPr>
      </w:pPr>
      <w:r>
        <w:rPr>
          <w:rFonts w:eastAsia="Google Sans" w:cs="Google Sans" w:ascii="Arial" w:hAnsi="Arial"/>
          <w:color w:val="353744"/>
        </w:rPr>
      </w:r>
    </w:p>
    <w:tbl>
      <w:tblPr>
        <w:tblStyle w:val="Table1"/>
        <w:tblW w:w="9300" w:type="dxa"/>
        <w:jc w:val="left"/>
        <w:tblInd w:w="0" w:type="dxa"/>
        <w:tblCellMar>
          <w:top w:w="100" w:type="dxa"/>
          <w:left w:w="100" w:type="dxa"/>
          <w:bottom w:w="100" w:type="dxa"/>
          <w:right w:w="100" w:type="dxa"/>
        </w:tblCellMar>
        <w:tblLook w:val="0600"/>
      </w:tblPr>
      <w:tblGrid>
        <w:gridCol w:w="1860"/>
        <w:gridCol w:w="3614"/>
        <w:gridCol w:w="1395"/>
        <w:gridCol w:w="1320"/>
        <w:gridCol w:w="1111"/>
      </w:tblGrid>
      <w:tr>
        <w:trPr/>
        <w:tc>
          <w:tcPr>
            <w:tcW w:w="1860" w:type="dxa"/>
            <w:tcBorders>
              <w:top w:val="single" w:sz="8" w:space="0" w:color="000000"/>
              <w:left w:val="single" w:sz="8" w:space="0" w:color="000000"/>
              <w:bottom w:val="single" w:sz="8" w:space="0" w:color="000000"/>
              <w:right w:val="single" w:sz="8" w:space="0" w:color="000000"/>
            </w:tcBorders>
            <w:shd w:fill="C9DAF8" w:val="clear"/>
          </w:tcPr>
          <w:p>
            <w:pPr>
              <w:pStyle w:val="Normal1"/>
              <w:widowControl w:val="false"/>
              <w:spacing w:lineRule="auto" w:line="240"/>
              <w:rPr>
                <w:rFonts w:ascii="Arial" w:hAnsi="Arial"/>
              </w:rPr>
            </w:pPr>
            <w:r>
              <w:rPr>
                <w:rFonts w:eastAsia="Google Sans" w:cs="Google Sans" w:ascii="Arial" w:hAnsi="Arial"/>
                <w:b/>
                <w:color w:val="353744"/>
              </w:rPr>
              <w:t>Threat source</w:t>
            </w:r>
          </w:p>
        </w:tc>
        <w:tc>
          <w:tcPr>
            <w:tcW w:w="3614" w:type="dxa"/>
            <w:tcBorders>
              <w:top w:val="single" w:sz="8" w:space="0" w:color="000000"/>
              <w:left w:val="single" w:sz="8" w:space="0" w:color="000000"/>
              <w:bottom w:val="single" w:sz="8" w:space="0" w:color="000000"/>
              <w:right w:val="single" w:sz="8" w:space="0" w:color="000000"/>
            </w:tcBorders>
            <w:shd w:fill="C9DAF8" w:val="clear"/>
          </w:tcPr>
          <w:p>
            <w:pPr>
              <w:pStyle w:val="Normal1"/>
              <w:widowControl w:val="false"/>
              <w:spacing w:lineRule="auto" w:line="240"/>
              <w:rPr>
                <w:rFonts w:ascii="Arial" w:hAnsi="Arial"/>
              </w:rPr>
            </w:pPr>
            <w:r>
              <w:rPr>
                <w:rFonts w:eastAsia="Google Sans" w:cs="Google Sans" w:ascii="Arial" w:hAnsi="Arial"/>
                <w:b/>
                <w:color w:val="353744"/>
              </w:rPr>
              <w:t>Threat event</w:t>
            </w:r>
          </w:p>
        </w:tc>
        <w:tc>
          <w:tcPr>
            <w:tcW w:w="1395" w:type="dxa"/>
            <w:tcBorders>
              <w:top w:val="single" w:sz="8" w:space="0" w:color="000000"/>
              <w:left w:val="single" w:sz="8" w:space="0" w:color="000000"/>
              <w:bottom w:val="single" w:sz="8" w:space="0" w:color="000000"/>
              <w:right w:val="single" w:sz="8" w:space="0" w:color="000000"/>
            </w:tcBorders>
            <w:shd w:fill="C9DAF8" w:val="clear"/>
          </w:tcPr>
          <w:p>
            <w:pPr>
              <w:pStyle w:val="Normal1"/>
              <w:widowControl w:val="false"/>
              <w:spacing w:lineRule="auto" w:line="240"/>
              <w:rPr>
                <w:rFonts w:ascii="Arial" w:hAnsi="Arial"/>
              </w:rPr>
            </w:pPr>
            <w:r>
              <w:rPr>
                <w:rFonts w:eastAsia="Google Sans" w:cs="Google Sans" w:ascii="Arial" w:hAnsi="Arial"/>
                <w:b/>
                <w:color w:val="353744"/>
              </w:rPr>
              <w:t>Likelihood</w:t>
            </w:r>
          </w:p>
        </w:tc>
        <w:tc>
          <w:tcPr>
            <w:tcW w:w="1320" w:type="dxa"/>
            <w:tcBorders>
              <w:top w:val="single" w:sz="8" w:space="0" w:color="000000"/>
              <w:left w:val="single" w:sz="8" w:space="0" w:color="000000"/>
              <w:bottom w:val="single" w:sz="8" w:space="0" w:color="000000"/>
              <w:right w:val="single" w:sz="8" w:space="0" w:color="000000"/>
            </w:tcBorders>
            <w:shd w:fill="C9DAF8" w:val="clear"/>
          </w:tcPr>
          <w:p>
            <w:pPr>
              <w:pStyle w:val="Normal1"/>
              <w:widowControl w:val="false"/>
              <w:spacing w:lineRule="auto" w:line="240"/>
              <w:rPr>
                <w:rFonts w:ascii="Arial" w:hAnsi="Arial"/>
              </w:rPr>
            </w:pPr>
            <w:r>
              <w:rPr>
                <w:rFonts w:eastAsia="Google Sans" w:cs="Google Sans" w:ascii="Arial" w:hAnsi="Arial"/>
                <w:b/>
                <w:color w:val="353744"/>
              </w:rPr>
              <w:t>Severity</w:t>
            </w:r>
          </w:p>
        </w:tc>
        <w:tc>
          <w:tcPr>
            <w:tcW w:w="1111" w:type="dxa"/>
            <w:tcBorders>
              <w:top w:val="single" w:sz="8" w:space="0" w:color="000000"/>
              <w:left w:val="single" w:sz="8" w:space="0" w:color="000000"/>
              <w:bottom w:val="single" w:sz="8" w:space="0" w:color="000000"/>
              <w:right w:val="single" w:sz="8" w:space="0" w:color="000000"/>
            </w:tcBorders>
            <w:shd w:fill="C9DAF8" w:val="clear"/>
          </w:tcPr>
          <w:p>
            <w:pPr>
              <w:pStyle w:val="Normal1"/>
              <w:widowControl w:val="false"/>
              <w:spacing w:lineRule="auto" w:line="240"/>
              <w:rPr>
                <w:rFonts w:ascii="Arial" w:hAnsi="Arial"/>
              </w:rPr>
            </w:pPr>
            <w:r>
              <w:rPr>
                <w:rFonts w:eastAsia="Google Sans" w:cs="Google Sans" w:ascii="Arial" w:hAnsi="Arial"/>
                <w:b/>
                <w:color w:val="353744"/>
              </w:rPr>
              <w:t>Risk</w:t>
            </w:r>
          </w:p>
        </w:tc>
      </w:tr>
      <w:tr>
        <w:trPr/>
        <w:tc>
          <w:tcPr>
            <w:tcW w:w="18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eastAsia="Google Sans" w:cs="Google Sans"/>
                <w:i/>
                <w:i/>
                <w:color w:val="353744"/>
              </w:rPr>
            </w:pPr>
            <w:r>
              <w:rPr>
                <w:rFonts w:eastAsia="Google Sans" w:cs="Google Sans" w:ascii="Arial" w:hAnsi="Arial"/>
                <w:i/>
                <w:color w:val="353744"/>
              </w:rPr>
              <w:t>Hacker, Malicious Actors</w:t>
            </w:r>
          </w:p>
        </w:tc>
        <w:tc>
          <w:tcPr>
            <w:tcW w:w="36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rPr>
            </w:pPr>
            <w:r>
              <w:rPr>
                <w:rFonts w:eastAsia="Google Sans" w:cs="Google Sans" w:ascii="Arial" w:hAnsi="Arial"/>
                <w:i/>
                <w:color w:val="353744"/>
              </w:rPr>
              <w:t>Obtain sensitive information via exfiltration</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rPr>
            </w:pPr>
            <w:r>
              <w:rPr>
                <w:rFonts w:eastAsia="Google Sans" w:cs="Google Sans" w:ascii="Arial" w:hAnsi="Arial"/>
                <w:i/>
                <w:color w:val="353744"/>
              </w:rPr>
              <w:t>3</w:t>
            </w:r>
          </w:p>
        </w:tc>
        <w:tc>
          <w:tcPr>
            <w:tcW w:w="13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rPr>
            </w:pPr>
            <w:r>
              <w:rPr>
                <w:rFonts w:eastAsia="Google Sans" w:cs="Google Sans" w:ascii="Arial" w:hAnsi="Arial"/>
                <w:i/>
                <w:color w:val="353744"/>
              </w:rPr>
              <w:t>3</w:t>
            </w:r>
          </w:p>
        </w:tc>
        <w:tc>
          <w:tcPr>
            <w:tcW w:w="111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rPr>
            </w:pPr>
            <w:r>
              <w:rPr>
                <w:rFonts w:eastAsia="Google Sans" w:cs="Google Sans" w:ascii="Arial" w:hAnsi="Arial"/>
                <w:i/>
                <w:color w:val="353744"/>
              </w:rPr>
              <w:t>9</w:t>
            </w:r>
          </w:p>
        </w:tc>
      </w:tr>
      <w:tr>
        <w:trPr>
          <w:trHeight w:val="501" w:hRule="atLeast"/>
        </w:trPr>
        <w:tc>
          <w:tcPr>
            <w:tcW w:w="18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eastAsia="Google Sans" w:cs="Google Sans"/>
                <w:i/>
                <w:i/>
                <w:color w:val="353744"/>
              </w:rPr>
            </w:pPr>
            <w:r>
              <w:rPr>
                <w:rFonts w:eastAsia="Google Sans" w:cs="Google Sans" w:ascii="Arial" w:hAnsi="Arial"/>
                <w:i/>
                <w:color w:val="353744"/>
              </w:rPr>
              <w:t>Customer</w:t>
            </w:r>
          </w:p>
        </w:tc>
        <w:tc>
          <w:tcPr>
            <w:tcW w:w="36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eastAsia="Google Sans" w:cs="Google Sans"/>
                <w:i/>
                <w:i/>
                <w:color w:val="353744"/>
              </w:rPr>
            </w:pPr>
            <w:r>
              <w:rPr>
                <w:rFonts w:eastAsia="Google Sans" w:cs="Google Sans" w:ascii="Arial" w:hAnsi="Arial"/>
                <w:i/>
                <w:color w:val="353744"/>
              </w:rPr>
              <w:t>Alter/Delete critical information</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eastAsia="Google Sans" w:cs="Google Sans"/>
                <w:i/>
                <w:i/>
                <w:color w:val="353744"/>
              </w:rPr>
            </w:pPr>
            <w:r>
              <w:rPr>
                <w:rFonts w:eastAsia="Google Sans" w:cs="Google Sans" w:ascii="Arial" w:hAnsi="Arial"/>
                <w:i/>
                <w:color w:val="353744"/>
              </w:rPr>
              <w:t>1</w:t>
            </w:r>
          </w:p>
        </w:tc>
        <w:tc>
          <w:tcPr>
            <w:tcW w:w="13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eastAsia="Google Sans" w:cs="Google Sans"/>
                <w:i/>
                <w:i/>
                <w:color w:val="353744"/>
              </w:rPr>
            </w:pPr>
            <w:r>
              <w:rPr>
                <w:rFonts w:eastAsia="Google Sans" w:cs="Google Sans" w:ascii="Arial" w:hAnsi="Arial"/>
                <w:i/>
                <w:color w:val="353744"/>
              </w:rPr>
              <w:t>3</w:t>
            </w:r>
          </w:p>
        </w:tc>
        <w:tc>
          <w:tcPr>
            <w:tcW w:w="111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eastAsia="Google Sans" w:cs="Google Sans"/>
                <w:i/>
                <w:i/>
                <w:color w:val="353744"/>
              </w:rPr>
            </w:pPr>
            <w:r>
              <w:rPr>
                <w:rFonts w:eastAsia="Google Sans" w:cs="Google Sans" w:ascii="Arial" w:hAnsi="Arial"/>
                <w:i/>
                <w:color w:val="353744"/>
              </w:rPr>
              <w:t>3</w:t>
            </w:r>
          </w:p>
        </w:tc>
      </w:tr>
      <w:tr>
        <w:trPr/>
        <w:tc>
          <w:tcPr>
            <w:tcW w:w="18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eastAsia="Google Sans" w:cs="Google Sans"/>
                <w:i/>
                <w:i/>
                <w:color w:val="353744"/>
              </w:rPr>
            </w:pPr>
            <w:r>
              <w:rPr>
                <w:rFonts w:eastAsia="Google Sans" w:cs="Google Sans" w:ascii="Arial" w:hAnsi="Arial"/>
                <w:i/>
                <w:color w:val="353744"/>
              </w:rPr>
              <w:t xml:space="preserve">Hacker, </w:t>
            </w:r>
            <w:r>
              <w:rPr>
                <w:rFonts w:eastAsia="Google Sans" w:cs="Google Sans" w:ascii="Arial" w:hAnsi="Arial"/>
                <w:i/>
                <w:color w:val="353744"/>
              </w:rPr>
              <w:t>Malicious Actors</w:t>
            </w:r>
          </w:p>
        </w:tc>
        <w:tc>
          <w:tcPr>
            <w:tcW w:w="36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eastAsia="Google Sans" w:cs="Google Sans"/>
                <w:i/>
                <w:i/>
                <w:color w:val="353744"/>
              </w:rPr>
            </w:pPr>
            <w:r>
              <w:rPr>
                <w:rFonts w:eastAsia="Google Sans" w:cs="Google Sans" w:ascii="Arial" w:hAnsi="Arial"/>
                <w:i/>
                <w:color w:val="353744"/>
              </w:rPr>
              <w:t>Conduct Denial of Service (DoS) attacks.</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eastAsia="Google Sans" w:cs="Google Sans"/>
                <w:i/>
                <w:i/>
                <w:color w:val="353744"/>
              </w:rPr>
            </w:pPr>
            <w:r>
              <w:rPr>
                <w:rFonts w:eastAsia="Google Sans" w:cs="Google Sans" w:ascii="Arial" w:hAnsi="Arial"/>
                <w:i/>
                <w:color w:val="353744"/>
              </w:rPr>
              <w:t>3</w:t>
            </w:r>
          </w:p>
        </w:tc>
        <w:tc>
          <w:tcPr>
            <w:tcW w:w="13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eastAsia="Google Sans" w:cs="Google Sans"/>
                <w:i/>
                <w:i/>
                <w:color w:val="353744"/>
              </w:rPr>
            </w:pPr>
            <w:r>
              <w:rPr>
                <w:rFonts w:eastAsia="Google Sans" w:cs="Google Sans" w:ascii="Arial" w:hAnsi="Arial"/>
                <w:i/>
                <w:color w:val="353744"/>
              </w:rPr>
              <w:t>3</w:t>
            </w:r>
          </w:p>
        </w:tc>
        <w:tc>
          <w:tcPr>
            <w:tcW w:w="111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eastAsia="Google Sans" w:cs="Google Sans"/>
                <w:i/>
                <w:i/>
                <w:color w:val="353744"/>
              </w:rPr>
            </w:pPr>
            <w:r>
              <w:rPr>
                <w:rFonts w:eastAsia="Google Sans" w:cs="Google Sans" w:ascii="Arial" w:hAnsi="Arial"/>
                <w:i/>
                <w:color w:val="353744"/>
              </w:rPr>
              <w:t>9</w:t>
            </w:r>
          </w:p>
        </w:tc>
      </w:tr>
    </w:tbl>
    <w:p>
      <w:pPr>
        <w:pStyle w:val="Heading1"/>
        <w:keepNext w:val="false"/>
        <w:keepLines w:val="false"/>
        <w:spacing w:lineRule="auto" w:line="240" w:before="480" w:after="0"/>
        <w:rPr>
          <w:rFonts w:ascii="Arial" w:hAnsi="Arial"/>
        </w:rPr>
      </w:pPr>
      <w:bookmarkStart w:id="6" w:name="_a9ivkvfuz16w"/>
      <w:bookmarkEnd w:id="6"/>
      <w:r>
        <w:rPr>
          <w:rFonts w:eastAsia="Proxima Nova" w:cs="Proxima Nova" w:ascii="Arial" w:hAnsi="Arial"/>
          <w:b/>
          <w:color w:val="353744"/>
          <w:sz w:val="28"/>
          <w:szCs w:val="28"/>
        </w:rPr>
        <w:t>Approach</w:t>
      </w:r>
    </w:p>
    <w:p>
      <w:pPr>
        <w:pStyle w:val="Normal1"/>
        <w:spacing w:lineRule="auto" w:line="312" w:before="200" w:after="0"/>
        <w:rPr>
          <w:rFonts w:ascii="Arial" w:hAnsi="Arial" w:eastAsia="Google Sans" w:cs="Google Sans"/>
          <w:b w:val="false"/>
          <w:i w:val="false"/>
          <w:i/>
          <w:caps w:val="false"/>
          <w:smallCaps w:val="false"/>
          <w:color w:val="353744"/>
          <w:spacing w:val="0"/>
          <w:sz w:val="22"/>
          <w:szCs w:val="22"/>
        </w:rPr>
      </w:pPr>
      <w:r>
        <w:rPr>
          <w:rFonts w:eastAsia="Google Sans" w:cs="Google Sans" w:ascii="Arial" w:hAnsi="Arial"/>
          <w:b w:val="false"/>
          <w:i w:val="false"/>
          <w:caps w:val="false"/>
          <w:smallCaps w:val="false"/>
          <w:color w:val="353744"/>
          <w:spacing w:val="0"/>
          <w:sz w:val="22"/>
          <w:szCs w:val="22"/>
        </w:rPr>
        <w:t>The assessment measured risks by examining the company’s data storage and management procedures. Potential threat sources and events were identified based on the likelihood of a security incident occurring due to the open access permissions of the information system. The severity of potential incidents was evaluated by considering their impact on daily operational needs.</w:t>
      </w:r>
    </w:p>
    <w:p>
      <w:pPr>
        <w:pStyle w:val="Heading1"/>
        <w:keepNext w:val="false"/>
        <w:keepLines w:val="false"/>
        <w:spacing w:lineRule="auto" w:line="240" w:before="480" w:after="0"/>
        <w:rPr>
          <w:rFonts w:ascii="Arial" w:hAnsi="Arial"/>
        </w:rPr>
      </w:pPr>
      <w:bookmarkStart w:id="7" w:name="_vf6vykh0xvv7"/>
      <w:bookmarkEnd w:id="7"/>
      <w:r>
        <w:rPr>
          <w:rFonts w:eastAsia="Proxima Nova" w:cs="Proxima Nova" w:ascii="Arial" w:hAnsi="Arial"/>
          <w:b/>
          <w:color w:val="353744"/>
          <w:sz w:val="28"/>
          <w:szCs w:val="28"/>
        </w:rPr>
        <w:t>Remediation Strategy</w:t>
      </w:r>
    </w:p>
    <w:p>
      <w:pPr>
        <w:pStyle w:val="Normal1"/>
        <w:spacing w:lineRule="auto" w:line="312" w:before="200" w:after="0"/>
        <w:rPr>
          <w:rFonts w:ascii="Arial" w:hAnsi="Arial"/>
        </w:rPr>
      </w:pPr>
      <w:r>
        <w:rPr>
          <w:rFonts w:eastAsia="Google Sans" w:cs="Google Sans" w:ascii="Arial" w:hAnsi="Arial"/>
          <w:color w:val="353744"/>
        </w:rPr>
        <w:t xml:space="preserve">To secure the database server, it is recommended to implement robust authentication, authorization, and auditing mechanisms to ensure only authorized users can access it. This includes enforcing strong password policies, utilizing role-based access controls, and implementing multi-factor authentication to restrict user privileges appropriately. Encrypt data in transit using TLS instead of SSL, and use IP allow-listing for corporate offices to prevent unauthorized internet users from connecting to the database. Additionally, implementing a load balancer and block communication through outdated or unused ports, protocols, and applications </w:t>
      </w:r>
      <w:r>
        <w:rPr>
          <w:rFonts w:eastAsia="Google Sans" w:cs="Google Sans" w:ascii="Arial" w:hAnsi="Arial"/>
          <w:color w:val="353744"/>
        </w:rPr>
        <w:t>can help from potential issues to occur in the future</w:t>
      </w:r>
      <w:r>
        <w:rPr>
          <w:rFonts w:eastAsia="Google Sans" w:cs="Google Sans" w:ascii="Arial" w:hAnsi="Arial"/>
          <w:color w:val="353744"/>
        </w:rPr>
        <w: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LibreOffice/6.4.4.2$Windows_X86_64 LibreOffice_project/3d775be2011f3886db32dfd395a6a6d1ca2630ff</Application>
  <Pages>2</Pages>
  <Words>365</Words>
  <Characters>2170</Characters>
  <CharactersWithSpaces>2503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2024-06-04T00:01:33Z</dcterms:modified>
  <cp:revision>3</cp:revision>
  <dc:subject/>
  <dc:title/>
</cp:coreProperties>
</file>