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82"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81"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75E0133B"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57C3673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357ACD1E"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1E86431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0725729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00000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wrap type="non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Pr="00B32719">
              <w:rPr>
                <w:rFonts w:ascii="Times New Roman" w:hAnsi="Times New Roman"/>
                <w:spacing w:val="5"/>
                <w:sz w:val="18"/>
              </w:rPr>
              <w:t xml:space="preserve"> </w:t>
            </w:r>
            <w:r w:rsidRPr="00B32719">
              <w:rPr>
                <w:sz w:val="18"/>
              </w:rPr>
              <w:t>Same</w:t>
            </w:r>
            <w:r w:rsidRPr="00B32719">
              <w:rPr>
                <w:spacing w:val="-1"/>
                <w:sz w:val="18"/>
              </w:rPr>
              <w:t xml:space="preserve"> </w:t>
            </w:r>
            <w:r w:rsidRPr="00B32719">
              <w:rPr>
                <w:sz w:val="18"/>
              </w:rPr>
              <w:t xml:space="preserve">as </w:t>
            </w:r>
            <w:r w:rsidRPr="00B32719">
              <w:rPr>
                <w:spacing w:val="-2"/>
                <w:sz w:val="18"/>
              </w:rPr>
              <w:t>o</w:t>
            </w:r>
            <w:r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wrap type="none"/>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inset="0,0,0,0">
              <w:txbxContent>
                <w:p w14:paraId="7F811CBB" w14:textId="0F25B316"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noProof/>
          <w:sz w:val="20"/>
        </w:rPr>
        <w:drawing>
          <wp:inline distT="0" distB="0" distL="0" distR="0" wp14:anchorId="55FA48C2" wp14:editId="2FE57081">
            <wp:extent cx="9590942" cy="3791911"/>
            <wp:effectExtent l="19050" t="19050" r="0" b="0"/>
            <wp:docPr id="10131083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pic:cNvPicPr/>
                  </pic:nvPicPr>
                  <pic:blipFill>
                    <a:blip r:embed="rId79">
                      <a:extLst>
                        <a:ext uri="{28A0092B-C50C-407E-A947-70E740481C1C}">
                          <a14:useLocalDpi xmlns:a14="http://schemas.microsoft.com/office/drawing/2010/main" val="0"/>
                        </a:ext>
                      </a:extLst>
                    </a:blip>
                    <a:stretch>
                      <a:fillRect/>
                    </a:stretch>
                  </pic:blipFill>
                  <pic:spPr>
                    <a:xfrm>
                      <a:off x="0" y="0"/>
                      <a:ext cx="9590942" cy="3791911"/>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24BD3EFA" w:rsidR="00056B2F" w:rsidRPr="00B32719" w:rsidRDefault="00D9542A" w:rsidP="00D9542A">
            <w:pPr>
              <w:pStyle w:val="TableParagraph"/>
              <w:tabs>
                <w:tab w:val="left" w:pos="817"/>
              </w:tabs>
              <w:spacing w:before="118"/>
              <w:ind w:right="683"/>
              <w:rPr>
                <w:rFonts w:ascii="Calibri" w:hAnsi="Calibri"/>
              </w:rPr>
            </w:pPr>
            <w:r>
              <w:rPr>
                <w:i/>
                <w:sz w:val="20"/>
              </w:rPr>
              <w:t xml:space="preserve"> -</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42954680" w:rsidR="00056B2F" w:rsidRPr="00B32719" w:rsidRDefault="00D9542A">
            <w:pPr>
              <w:pStyle w:val="TableParagraph"/>
              <w:ind w:left="107" w:right="959"/>
              <w:jc w:val="both"/>
              <w:rPr>
                <w:rFonts w:ascii="Calibri" w:hAnsi="Calibri"/>
              </w:rPr>
            </w:pPr>
            <w:r>
              <w:rPr>
                <w:rFonts w:ascii="Calibri" w:hAnsi="Calibri"/>
              </w:rPr>
              <w: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80"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headerReference w:type="default" r:id="rId131"/>
          <w:footerReference w:type="default" r:id="rId132"/>
          <w:headerReference w:type="first" r:id="rId133"/>
          <w:footerReference w:type="first" r:id="rId134"/>
          <w:pgSz w:w="11906" w:h="16838"/>
          <w:pgMar w:top="800" w:right="0" w:bottom="1120" w:left="440" w:header="427" w:footer="938" w:gutter="0"/>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achieve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information with the citizens, and they will improve their processes as well, so many citizens will detect better performance in many cases. When the research is over, the method is fully ready for implementation.</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held where for instance academic researchers could ask about the topic. </w:t>
      </w:r>
    </w:p>
    <w:p w14:paraId="16FD271D"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Presentations could also be held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4EC0B2BB" w:rsidR="001D2352" w:rsidRPr="001D2352" w:rsidRDefault="001D2352" w:rsidP="001D2352">
            <w:pPr>
              <w:pStyle w:val="Kerettartalom"/>
              <w:numPr>
                <w:ilvl w:val="0"/>
                <w:numId w:val="36"/>
              </w:numPr>
              <w:spacing w:before="59"/>
              <w:rPr>
                <w:bCs/>
                <w:spacing w:val="-2"/>
              </w:rPr>
            </w:pPr>
            <w:r>
              <w:rPr>
                <w:bCs/>
                <w:spacing w:val="-2"/>
              </w:rPr>
              <w:t xml:space="preserve">hold </w:t>
            </w:r>
            <w:r w:rsidRPr="001D2352">
              <w:rPr>
                <w:bCs/>
                <w:spacing w:val="-2"/>
              </w:rPr>
              <w:t>live podcasts for instance academic researchers could ask about the topic</w:t>
            </w:r>
            <w:r w:rsidR="00700BB4">
              <w:rPr>
                <w:bCs/>
                <w:spacing w:val="-2"/>
              </w:rPr>
              <w:t>,</w:t>
            </w:r>
          </w:p>
          <w:p w14:paraId="19CADCF2" w14:textId="5D5CDE15" w:rsidR="001D2352" w:rsidRPr="001D2352" w:rsidRDefault="00700BB4" w:rsidP="001D2352">
            <w:pPr>
              <w:pStyle w:val="Kerettartalom"/>
              <w:numPr>
                <w:ilvl w:val="0"/>
                <w:numId w:val="36"/>
              </w:numPr>
              <w:spacing w:before="59"/>
              <w:rPr>
                <w:bCs/>
                <w:spacing w:val="-2"/>
              </w:rPr>
            </w:pPr>
            <w:r>
              <w:rPr>
                <w:bCs/>
                <w:spacing w:val="-2"/>
              </w:rPr>
              <w:t>hold p</w:t>
            </w:r>
            <w:r w:rsidR="001D2352" w:rsidRPr="001D2352">
              <w:rPr>
                <w:bCs/>
                <w:spacing w:val="-2"/>
              </w:rPr>
              <w:t>resentations in some company campuses</w:t>
            </w:r>
            <w:r>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Table</w:t>
      </w:r>
      <w:r w:rsidRPr="00B32719">
        <w:rPr>
          <w:spacing w:val="-4"/>
        </w:rPr>
        <w:t xml:space="preserve"> </w:t>
      </w:r>
      <w:r w:rsidRPr="00B32719">
        <w:rPr>
          <w:spacing w:val="-2"/>
        </w:rPr>
        <w:t>3.1d:</w:t>
      </w:r>
      <w:r w:rsidRPr="00B32719">
        <w:tab/>
        <w:t>List</w:t>
      </w:r>
      <w:r w:rsidRPr="00B32719">
        <w:rPr>
          <w:spacing w:val="-3"/>
        </w:rPr>
        <w:t xml:space="preserve"> </w:t>
      </w:r>
      <w:r w:rsidRPr="00B32719">
        <w:t>of</w:t>
      </w:r>
      <w:r w:rsidRPr="00B32719">
        <w:rPr>
          <w:spacing w:val="-1"/>
        </w:rPr>
        <w:t xml:space="preserve"> </w:t>
      </w:r>
      <w:r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006B3354" w14:textId="6DD3486D" w:rsidR="007517D0" w:rsidRDefault="007517D0" w:rsidP="007517D0">
      <w:pPr>
        <w:spacing w:before="3"/>
        <w:ind w:left="231"/>
        <w:jc w:val="both"/>
        <w:rPr>
          <w:b/>
          <w:bCs/>
          <w:spacing w:val="-4"/>
          <w:szCs w:val="28"/>
        </w:rPr>
      </w:pPr>
    </w:p>
    <w:p w14:paraId="5D2B5444" w14:textId="5F8A8B0C" w:rsidR="007517D0" w:rsidRDefault="00CB6EFB" w:rsidP="007517D0">
      <w:pPr>
        <w:spacing w:before="3"/>
        <w:ind w:left="231"/>
        <w:jc w:val="both"/>
        <w:rPr>
          <w:b/>
          <w:bCs/>
          <w:spacing w:val="-4"/>
          <w:szCs w:val="28"/>
        </w:rPr>
      </w:pPr>
      <w:r>
        <w:rPr>
          <w:noProof/>
        </w:rPr>
        <w:drawing>
          <wp:inline distT="0" distB="0" distL="0" distR="0" wp14:anchorId="57ABAB39" wp14:editId="26F604EF">
            <wp:extent cx="6521450" cy="1584325"/>
            <wp:effectExtent l="0" t="0" r="0" b="0"/>
            <wp:docPr id="726746602" name="Kép 2" descr="A képen Multimédiás szoftver, szoftver, szöveg, Grafikai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descr="A képen Multimédiás szoftver, szoftver, szöveg, Grafikai szoftver látható&#10;&#10;Automatikusan generált leírá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521450" cy="1584325"/>
                    </a:xfrm>
                    <a:prstGeom prst="rect">
                      <a:avLst/>
                    </a:prstGeom>
                    <a:noFill/>
                    <a:ln>
                      <a:noFill/>
                    </a:ln>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53416CBD"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E82FA" w14:textId="77777777" w:rsidR="009C43C3" w:rsidRPr="00B32719" w:rsidRDefault="009C43C3">
      <w:r w:rsidRPr="00B32719">
        <w:separator/>
      </w:r>
    </w:p>
  </w:endnote>
  <w:endnote w:type="continuationSeparator" w:id="0">
    <w:p w14:paraId="336BE04D" w14:textId="77777777" w:rsidR="009C43C3" w:rsidRPr="00B32719" w:rsidRDefault="009C43C3">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1FB8338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1F1BDB9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7988836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53F1FC4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6D44C847"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4479EEA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0BBA0C1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1889090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5" type="#_x0000_t75" style="width:125.2pt;height:10.65pt;visibility:visible;mso-wrap-distance-right:0">
                      <v:imagedata r:id="rId1" o:title=""/>
                    </v:shape>
                    <o:OLEObject Type="Embed" ProgID="Word.Document.12" ShapeID="ole_rId1" DrawAspect="Content" ObjectID="_1793866372"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397B47F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722D507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4A6A6807"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37C343F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52B678B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3929821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6245A74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4A3756D5"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259FE46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61A85E1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310491D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55694B4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2852349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4F58407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105513F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7F2724F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10E2DD6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449C48E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35DF49F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367F5D2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48DC6D5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3851B5FB"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3559318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16909B0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22A69B7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00FD5F3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4C47D59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1CB4E2D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182711B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65DBAC14"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6DEEB29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262A24">
                  <w:rPr>
                    <w:rFonts w:ascii="Arial" w:hAnsi="Arial"/>
                    <w:noProof/>
                    <w:color w:val="221F1F"/>
                    <w:sz w:val="17"/>
                  </w:rPr>
                  <w:t>23/11/2024 11:21</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3B302" w14:textId="77777777" w:rsidR="009C43C3" w:rsidRPr="00B32719" w:rsidRDefault="009C43C3">
      <w:r w:rsidRPr="00B32719">
        <w:separator/>
      </w:r>
    </w:p>
  </w:footnote>
  <w:footnote w:type="continuationSeparator" w:id="0">
    <w:p w14:paraId="105CA832" w14:textId="77777777" w:rsidR="009C43C3" w:rsidRPr="00B32719" w:rsidRDefault="009C43C3">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000000">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000000">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000000">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000000">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000000">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000000">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000000">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000000">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000000">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000000">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000000">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5" style="width:12.5pt;height:12.5pt" coordsize="" o:spt="100" o:bullet="t" adj="0,,0" path="" stroked="f">
        <v:stroke joinstyle="miter"/>
        <v:imagedata r:id="rId1" o:title=""/>
        <v:formulas/>
        <v:path o:connecttype="segments"/>
      </v:shape>
    </w:pict>
  </w:numPicBullet>
  <w:numPicBullet w:numPicBulletId="1">
    <w:pict>
      <v:shapetype w14:anchorId="6ACB23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65pt;height:10.65pt;visibility:visible;mso-wrap-style:square" o:bullet="t">
        <v:imagedata r:id="rId2" o:title=""/>
      </v:shape>
    </w:pict>
  </w:numPicBullet>
  <w:numPicBullet w:numPicBulletId="2">
    <w:pict>
      <v:shape id="_x0000_i1037" type="#_x0000_t75" style="width:10.65pt;height:10.65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334D9"/>
    <w:rsid w:val="0004650C"/>
    <w:rsid w:val="00052067"/>
    <w:rsid w:val="00056B2F"/>
    <w:rsid w:val="00096743"/>
    <w:rsid w:val="000B1711"/>
    <w:rsid w:val="000C13C9"/>
    <w:rsid w:val="001149FD"/>
    <w:rsid w:val="00143F83"/>
    <w:rsid w:val="001626DD"/>
    <w:rsid w:val="0019569D"/>
    <w:rsid w:val="001C2D75"/>
    <w:rsid w:val="001C415A"/>
    <w:rsid w:val="001D2352"/>
    <w:rsid w:val="001D2F50"/>
    <w:rsid w:val="001F2767"/>
    <w:rsid w:val="00213C2E"/>
    <w:rsid w:val="002575C2"/>
    <w:rsid w:val="00262A24"/>
    <w:rsid w:val="00280521"/>
    <w:rsid w:val="002E684E"/>
    <w:rsid w:val="0032165B"/>
    <w:rsid w:val="00392B2A"/>
    <w:rsid w:val="003A4050"/>
    <w:rsid w:val="004070E3"/>
    <w:rsid w:val="004132B7"/>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D4314"/>
    <w:rsid w:val="00700BB4"/>
    <w:rsid w:val="007059C8"/>
    <w:rsid w:val="0071300F"/>
    <w:rsid w:val="007517D0"/>
    <w:rsid w:val="00775D18"/>
    <w:rsid w:val="007C3737"/>
    <w:rsid w:val="007E11E1"/>
    <w:rsid w:val="007E5B7D"/>
    <w:rsid w:val="007E75F6"/>
    <w:rsid w:val="00816FD7"/>
    <w:rsid w:val="00834032"/>
    <w:rsid w:val="008428C9"/>
    <w:rsid w:val="008E455D"/>
    <w:rsid w:val="008E5979"/>
    <w:rsid w:val="0093107E"/>
    <w:rsid w:val="00961F0D"/>
    <w:rsid w:val="00980F1B"/>
    <w:rsid w:val="00994EB3"/>
    <w:rsid w:val="009B70CD"/>
    <w:rsid w:val="009C43C3"/>
    <w:rsid w:val="00A472C2"/>
    <w:rsid w:val="00A736AC"/>
    <w:rsid w:val="00AB3352"/>
    <w:rsid w:val="00AD26BA"/>
    <w:rsid w:val="00B32719"/>
    <w:rsid w:val="00B529CE"/>
    <w:rsid w:val="00B65ADE"/>
    <w:rsid w:val="00B80F20"/>
    <w:rsid w:val="00C05B92"/>
    <w:rsid w:val="00C43F5C"/>
    <w:rsid w:val="00C75511"/>
    <w:rsid w:val="00CA0716"/>
    <w:rsid w:val="00CA3982"/>
    <w:rsid w:val="00CB6EFB"/>
    <w:rsid w:val="00CF533F"/>
    <w:rsid w:val="00D71D47"/>
    <w:rsid w:val="00D9542A"/>
    <w:rsid w:val="00DA39E7"/>
    <w:rsid w:val="00E524B9"/>
    <w:rsid w:val="00ED6655"/>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2.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customXml/itemProps4.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49</Pages>
  <Words>7142</Words>
  <Characters>49280</Characters>
  <Application>Microsoft Office Word</Application>
  <DocSecurity>0</DocSecurity>
  <Lines>410</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Laczkó Zsófia</cp:lastModifiedBy>
  <cp:revision>17</cp:revision>
  <cp:lastPrinted>2024-11-20T19:13:00Z</cp:lastPrinted>
  <dcterms:created xsi:type="dcterms:W3CDTF">2024-11-20T17:17:00Z</dcterms:created>
  <dcterms:modified xsi:type="dcterms:W3CDTF">2024-11-23T10:26:00Z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