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11 August 2026</w:t>
      </w:r>
    </w:p>
    <w:p>
      <w:pPr>
        <w:pStyle w:val="NoSpacing"/>
      </w:pPr>
    </w:p>
    <w:p>
      <w:pPr>
        <w:pStyle w:val="NoSpacing"/>
      </w:pPr>
      <w:r>
        <w:rPr>
          <w:b/>
          <w:color w:val="4A86E8"/>
        </w:rPr>
        <w:t>Saudi Arabia/Regional</w:t>
      </w:r>
    </w:p>
    <w:p>
      <w:pPr>
        <w:pStyle w:val="ListBullet"/>
      </w:pPr>
      <w:r>
        <w:t>Which country is the new Mecca defense pact targeting?</w:t>
      </w:r>
    </w:p>
    <w:p>
      <w:pPr>
        <w:pStyle w:val="ListBullet"/>
      </w:pPr>
      <w:r>
        <w:t>The Mecca Pact Extends Pakistan's Security Role Westward</w:t>
      </w:r>
    </w:p>
    <w:p>
      <w:pPr>
        <w:pStyle w:val="ListBullet"/>
      </w:pPr>
      <w:r>
        <w:t>Bangladesh Joins Saudi-led Defense Coalition as Bab el-Mandeb Risks Grow</w:t>
      </w:r>
    </w:p>
    <w:p>
      <w:pPr>
        <w:pStyle w:val="ListBullet"/>
      </w:pPr>
      <w:r>
        <w:t>Iran says it is not concerned by new 'Mecca Joint Defence Agreement'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ListBullet"/>
      </w:pPr>
      <w:r>
        <w:t>2,400-Year-Old Tomb of a Possible Ancient Wrestler Discovered at Aspendos</w:t>
      </w:r>
    </w:p>
    <w:p>
      <w:pPr>
        <w:pStyle w:val="ListBullet"/>
      </w:pPr>
      <w:r>
        <w:t>8,500-Year-Old Shell Bead Reveals Ancient California's Hidden Trade Network</w:t>
      </w:r>
    </w:p>
    <w:p>
      <w:pPr>
        <w:pStyle w:val="ListBullet"/>
      </w:pPr>
      <w:r>
        <w:t>Remains of colonial hospital and church discovered in Lima's historic centre</w:t>
      </w:r>
    </w:p>
    <w:p>
      <w:pPr>
        <w:pStyle w:val="ListBullet"/>
      </w:pPr>
      <w:r>
        <w:t>Divers Stumble Upon 2,000-Year-Old Roman Shipwreck in Italy</w:t>
      </w:r>
    </w:p>
    <w:p>
      <w:pPr>
        <w:pStyle w:val="ListBullet"/>
      </w:pPr>
      <w:r>
        <w:t>National Gallery of Art Protects Works Ahead of Trump's IndyCar Race</w:t>
      </w:r>
    </w:p>
    <w:p>
      <w:pPr>
        <w:pStyle w:val="ListBullet"/>
      </w:pPr>
      <w:r>
        <w:t>UK Ministry of Justice spent more than £85,000 removing Banksy mural from the Royal Courts of Justice</w:t>
      </w:r>
    </w:p>
    <w:p>
      <w:pPr>
        <w:pStyle w:val="ListBullet"/>
      </w:pPr>
      <w:r>
        <w:t>Elon Musk reveals plans for world's largest building</w:t>
      </w:r>
    </w:p>
    <w:p>
      <w:pPr>
        <w:pStyle w:val="ListBullet"/>
      </w:pPr>
      <w:r>
        <w:t>Realistic AI architectural renderings must be labelled under EU AI Act</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Saudi Arabia, Türkiye and Pakistan have signed the "Mecca Joint Defence Agreement", a mutual-defence pact under which an armed attack on one signatory is to be treated as an attack on all three, framed as a collective-deterrence response to regional instability and the Iran war. Signed in Mecca by Crown Prince Mohammed bin Salman, President Recep Tayyip Erdoğan and Prime Minister Shehbaz Sharif, the agreement places the Kingdom at the centre of an emerging Sunni-majority security architecture. For the Ministry, the significance is contextual: Saudi Arabia's international cultural engagement now proceeds against a markedly heightened security backdrop that shapes how global audiences read news from the Kingdom. (</w:t>
      </w:r>
      <w:hyperlink r:id="rId9">
        <w:r>
          <w:rPr>
            <w:color w:val="0000FF"/>
            <w:u w:val="single"/>
            <w:rFonts w:ascii="Times New Roman" w:hAnsi="Times New Roman"/>
          </w:rPr>
          <w:t xml:space="preserve">Deutsche Welle</w:t>
        </w:r>
      </w:hyperlink>
      <w:r>
        <w:rPr>
          <w:b w:val="0"/>
        </w:rPr>
        <w:t>)</w:t>
      </w:r>
    </w:p>
    <w:p>
      <w:pPr>
        <w:pStyle w:val="ListBullet"/>
      </w:pPr>
      <w:r>
        <w:rPr>
          <w:b w:val="0"/>
        </w:rPr>
        <w:t>An analysis by Deniz Karakullukcu examines how the pact, signed on 7 August, extends Pakistan's security role westward while leaving its core military obligations undefined — there is no disclosed trigger mechanism, no stated geographic limit and no specified assistance, which the author argues makes the widely used "Muslim NATO" label premature. The piece recalls Pakistan's deployment of troops, JF-17 fighters and air-defence systems to Saudi Arabia during the Iran war earlier this year. The deepening Saudi–Pakistan–Türkiye alignment is a strategic dynamic best kept clearly distinct from the Ministry's cultural-diplomacy messaging. (</w:t>
      </w:r>
      <w:hyperlink r:id="rId10">
        <w:r>
          <w:rPr>
            <w:color w:val="0000FF"/>
            <w:u w:val="single"/>
            <w:rFonts w:ascii="Times New Roman" w:hAnsi="Times New Roman"/>
          </w:rPr>
          <w:t xml:space="preserve">The Diplomat</w:t>
        </w:r>
      </w:hyperlink>
      <w:r>
        <w:rPr>
          <w:b w:val="0"/>
        </w:rPr>
        <w:t>)</w:t>
      </w:r>
    </w:p>
    <w:p>
      <w:pPr>
        <w:pStyle w:val="ListBullet"/>
      </w:pPr>
      <w:r>
        <w:rPr>
          <w:b w:val="0"/>
        </w:rPr>
        <w:t>Bangladesh has joined a separate Saudi-led maritime defence coalition of fourteen founding members — spanning the Gulf states, Türkiye, Egypt, Jordan, Yemen and several African and South Asian partners — formed after the Houthi movement's 20 July naval blockade and disruption in the Strait of Hormuz pushed more Saudi oil through the Red Sea port of Yanbu. Riyadh will lead the coalition and host its headquarters, though its charter and rules of engagement remain undisclosed. The heightened exposure around the Bab el-Mandeb chokepoint carries real implications for Red Sea tourism and heritage projects, where cultural and security narratives directly intersect. (</w:t>
      </w:r>
      <w:hyperlink r:id="rId11">
        <w:r>
          <w:rPr>
            <w:color w:val="0000FF"/>
            <w:u w:val="single"/>
            <w:rFonts w:ascii="Times New Roman" w:hAnsi="Times New Roman"/>
          </w:rPr>
          <w:t xml:space="preserve">The Diplomat</w:t>
        </w:r>
      </w:hyperlink>
      <w:r>
        <w:rPr>
          <w:b w:val="0"/>
        </w:rPr>
        <w:t>)</w:t>
      </w:r>
    </w:p>
    <w:p>
      <w:pPr>
        <w:pStyle w:val="ListBullet"/>
      </w:pPr>
      <w:r>
        <w:rPr>
          <w:b w:val="0"/>
        </w:rPr>
        <w:t>Iran has said it is "not concerned" by the new Mecca Joint Defence Agreement, with Tehran's foreign ministry playing down any suggestion the pact is aimed at it. The measured reaction tempers the risk that the agreement is read internationally as an imminent regional flashpoint. Middle East Eye's funding is opaque and widely linked to Qatar, so its framing on Gulf security is best read with that alignment in mind. (</w:t>
      </w:r>
      <w:hyperlink r:id="rId12">
        <w:r>
          <w:rPr>
            <w:color w:val="0000FF"/>
            <w:u w:val="single"/>
            <w:rFonts w:ascii="Times New Roman" w:hAnsi="Times New Roman"/>
          </w:rPr>
          <w:t xml:space="preserve">Middle East Eye</w:t>
        </w:r>
      </w:hyperlink>
      <w:r>
        <w:rPr>
          <w:b w:val="0"/>
        </w:rPr>
        <w: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at Aspendos in southern Türkiye have uncovered a chest-type tomb dating to the late fifth to fourth century BCE, possibly belonging to an ancient wrestler, in a previously undocumented part of the site — a find announced directly by Türkiye's Minister of Culture and Tourism, Mehmet Nuri Ersoy. The ministerial framing is a reminder of how effectively neighbouring governments turn archaeological discoveries into cultural-diplomacy set-pieces, a template with clear relevance to Saudi Arabia's own heritage programme at AlUla, Hegra and Al-Faw. (</w:t>
      </w:r>
      <w:hyperlink r:id="rId13">
        <w:r>
          <w:rPr>
            <w:color w:val="0000FF"/>
            <w:u w:val="single"/>
            <w:rFonts w:ascii="Times New Roman" w:hAnsi="Times New Roman"/>
          </w:rPr>
          <w:t xml:space="preserve">Arkeonews</w:t>
        </w:r>
      </w:hyperlink>
      <w:r>
        <w:rPr>
          <w:b w:val="0"/>
        </w:rPr>
        <w:t>)</w:t>
      </w:r>
    </w:p>
    <w:p>
      <w:pPr>
        <w:pStyle w:val="ListBullet"/>
      </w:pPr>
      <w:r>
        <w:rPr>
          <w:b w:val="0"/>
        </w:rPr>
        <w:t>A shell bead barely the size of a fingernail, carved from a giant rock scallop and excavated in California's interior, has pushed back the timeline of long-distance trade in ancient California by thousands of years. The find underlines the outsized narrative power of small heritage objects, a lesson for how modest artefacts from Saudi sites can anchor compelling cultural storytelling for international audiences. (</w:t>
      </w:r>
      <w:hyperlink r:id="rId14">
        <w:r>
          <w:rPr>
            <w:color w:val="0000FF"/>
            <w:u w:val="single"/>
            <w:rFonts w:ascii="Times New Roman" w:hAnsi="Times New Roman"/>
          </w:rPr>
          <w:t xml:space="preserve">Arkeonews</w:t>
        </w:r>
      </w:hyperlink>
      <w:r>
        <w:rPr>
          <w:b w:val="0"/>
        </w:rPr>
        <w:t>)</w:t>
      </w:r>
    </w:p>
    <w:p>
      <w:pPr>
        <w:pStyle w:val="ListBullet"/>
      </w:pPr>
      <w:r>
        <w:rPr>
          <w:b w:val="0"/>
        </w:rPr>
        <w:t>The remains of a sixteenth-century hospital and church, complete with Valencian floor tiles, have been uncovered in the historic centre of Lima, in the garden of the sanctuary of Santa Rosa de Lima, following work by the city's historic-centre recovery programme, Prolima. The discovery shows how urban heritage recovery can surface significant finds within a living city, a model that resonates with Saudi Arabia's historic-district regeneration at Diriyah and Historic Jeddah. (</w:t>
      </w:r>
      <w:hyperlink r:id="rId15">
        <w:r>
          <w:rPr>
            <w:color w:val="0000FF"/>
            <w:u w:val="single"/>
            <w:rFonts w:ascii="Times New Roman" w:hAnsi="Times New Roman"/>
          </w:rPr>
          <w:t xml:space="preserve">The Art Newspaper</w:t>
        </w:r>
      </w:hyperlink>
      <w:r>
        <w:rPr>
          <w:b w:val="0"/>
        </w:rPr>
        <w:t>)</w:t>
      </w:r>
    </w:p>
    <w:p>
      <w:pPr>
        <w:pStyle w:val="ListBullet"/>
      </w:pPr>
      <w:r>
        <w:rPr>
          <w:b w:val="0"/>
        </w:rPr>
        <w:t>Divers have discovered a 2,000-year-old Roman shipwreck laden with hundreds of clay vessels off the coast of Sicily, described by Italian authorities as one of the most important underwater archaeological discoveries of recent years. Sustained international appetite for maritime and underwater heritage points to an opportunity for Saudi Arabia's Red Sea archaeology to attract comparable global attention. (</w:t>
      </w:r>
      <w:hyperlink r:id="rId16">
        <w:r>
          <w:rPr>
            <w:color w:val="0000FF"/>
            <w:u w:val="single"/>
            <w:rFonts w:ascii="Times New Roman" w:hAnsi="Times New Roman"/>
          </w:rPr>
          <w:t xml:space="preserve">Hyperallergic</w:t>
        </w:r>
      </w:hyperlink>
      <w:r>
        <w:rPr>
          <w:b w:val="0"/>
        </w:rPr>
        <w:t>)</w:t>
      </w:r>
    </w:p>
    <w:p>
      <w:pPr>
        <w:pStyle w:val="NoSpacing"/>
      </w:pPr>
      <w:r>
        <w:rPr>
          <w:b/>
          <w:color w:val="000000"/>
        </w:rPr>
        <w:t>Museums:</w:t>
      </w:r>
    </w:p>
    <w:p>
      <w:pPr>
        <w:pStyle w:val="ListBullet"/>
      </w:pPr>
      <w:r>
        <w:rPr>
          <w:b w:val="0"/>
        </w:rPr>
        <w:t>The National Gallery of Art in Washington has boarded up structures including its I.M. Pei skylights and an outdoor Alexander Calder sculpture ahead of a high-profile IndyCar race being staged nearby. The episode illustrates the operational balancing act museums face when large public events press up against cultural institutions, a consideration increasingly relevant as Saudi Arabia co-locates major entertainment programming with its fast-growing museum sector. (</w:t>
      </w:r>
      <w:hyperlink r:id="rId17">
        <w:r>
          <w:rPr>
            <w:color w:val="0000FF"/>
            <w:u w:val="single"/>
            <w:rFonts w:ascii="Times New Roman" w:hAnsi="Times New Roman"/>
          </w:rPr>
          <w:t xml:space="preserve">Hyperallergic</w:t>
        </w:r>
      </w:hyperlink>
      <w:r>
        <w:rPr>
          <w:b w:val="0"/>
        </w:rPr>
        <w:t>)</w:t>
      </w:r>
    </w:p>
    <w:p>
      <w:pPr>
        <w:pStyle w:val="NoSpacing"/>
      </w:pPr>
      <w:r>
        <w:rPr>
          <w:b/>
          <w:color w:val="000000"/>
        </w:rPr>
        <w:t>Visual Arts:</w:t>
      </w:r>
    </w:p>
    <w:p>
      <w:pPr>
        <w:pStyle w:val="ListBullet"/>
      </w:pPr>
      <w:r>
        <w:rPr>
          <w:b w:val="0"/>
        </w:rPr>
        <w:t>The UK Ministry of Justice spent more than £85,000 removing a Banksy mural from the Royal Courts of Justice, drawing attention to the cost and complexity of managing unsanctioned street art on heritage buildings. The story captures the tension between contemporary street art and the stewardship of historic architecture, a debate with resonance as Saudi Arabia commissions public art across its cities. (</w:t>
      </w:r>
      <w:hyperlink r:id="rId18">
        <w:r>
          <w:rPr>
            <w:color w:val="0000FF"/>
            <w:u w:val="single"/>
            <w:rFonts w:ascii="Times New Roman" w:hAnsi="Times New Roman"/>
          </w:rPr>
          <w:t xml:space="preserve">The Art Newspaper</w:t>
        </w:r>
      </w:hyperlink>
      <w:r>
        <w:rPr>
          <w:b w:val="0"/>
        </w:rPr>
        <w:t>)</w:t>
      </w:r>
    </w:p>
    <w:p>
      <w:pPr>
        <w:pStyle w:val="NoSpacing"/>
      </w:pPr>
      <w:r>
        <w:rPr>
          <w:b/>
          <w:color w:val="000000"/>
        </w:rPr>
        <w:t>Architecture and Design:</w:t>
      </w:r>
    </w:p>
    <w:p>
      <w:pPr>
        <w:pStyle w:val="ListBullet"/>
      </w:pPr>
      <w:r>
        <w:rPr>
          <w:b w:val="0"/>
        </w:rPr>
        <w:t>SpaceX has revealed plans for "Terafab", a semiconductor megafactory it presents as the largest building in the world, intended to manufacture advanced chips for Tesla's Optimus robots, self-driving Cybercabs and SpaceX data centres. The scale of the proposal reflects how industrial architecture is increasingly deployed as a statement of technological ambition, a framing that resonates with Saudi Arabia's own large-scale built-environment projects. (</w:t>
      </w:r>
      <w:hyperlink r:id="rId19">
        <w:r>
          <w:rPr>
            <w:color w:val="0000FF"/>
            <w:u w:val="single"/>
            <w:rFonts w:ascii="Times New Roman" w:hAnsi="Times New Roman"/>
          </w:rPr>
          <w:t xml:space="preserve">Dezeen</w:t>
        </w:r>
      </w:hyperlink>
      <w:r>
        <w:rPr>
          <w:b w:val="0"/>
        </w:rPr>
        <w:t>)</w:t>
      </w:r>
    </w:p>
    <w:p>
      <w:pPr>
        <w:pStyle w:val="ListBullet"/>
      </w:pPr>
      <w:r>
        <w:rPr>
          <w:b w:val="0"/>
        </w:rPr>
        <w:t>Realistic AI-generated architectural renderings published in the European Union must now be labelled under Article 50 of the EU AI Act, which came into force on 2 August, with unlabelled imagery risking fines. The rule signals a tightening global norm around AI transparency in the creative and design sectors, a regulatory direction the Kingdom's growing design and architecture scene will need to track as it deepens engagement with European partners and markets. (</w:t>
      </w:r>
      <w:hyperlink r:id="rId20">
        <w:r>
          <w:rPr>
            <w:color w:val="0000FF"/>
            <w:u w:val="single"/>
            <w:rFonts w:ascii="Times New Roman" w:hAnsi="Times New Roman"/>
          </w:rPr>
          <w:t xml:space="preserve">Dezeen</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crowding out the cultural narrative</w:t>
      </w:r>
    </w:p>
    <w:p>
      <w:pPr>
        <w:pStyle w:val="NoSpacing"/>
      </w:pPr>
      <w:r>
        <w:t>The Mecca Joint Defence Agreement and the parallel Saudi-led maritime coalition place the Kingdom at the centre of an intensifying regional-security story, set against Houthi attacks on Saudi oil infrastructure and rising Red Sea shipping risk. For a cultural digest, the risk is that hard-security headlines dominate international perceptions of Saudi Arabia precisely when the Ministry is working to build a cultural-diplomacy and tourism narrative.</w:t>
      </w:r>
    </w:p>
    <w:p>
      <w:pPr>
        <w:pStyle w:val="NoSpacing"/>
      </w:pPr>
      <w:r>
        <w:rPr>
          <w:b/>
        </w:rPr>
        <w:t xml:space="preserve">Source: </w:t>
      </w:r>
      <w:hyperlink r:id="rId9">
        <w:r>
          <w:rPr>
            <w:color w:val="0000FF"/>
            <w:u w:val="single"/>
            <w:rFonts w:ascii="Times New Roman" w:hAnsi="Times New Roman"/>
          </w:rPr>
          <w:t xml:space="preserve">Deutsche Welle</w:t>
        </w:r>
      </w:hyperlink>
      <w:r>
        <w:rPr>
          <w:b w:val="0"/>
        </w:rPr>
        <w:t xml:space="preserve">, </w:t>
      </w:r>
      <w:hyperlink r:id="rId10">
        <w:r>
          <w:rPr>
            <w:color w:val="0000FF"/>
            <w:u w:val="single"/>
            <w:rFonts w:ascii="Times New Roman" w:hAnsi="Times New Roman"/>
          </w:rPr>
          <w:t xml:space="preserve">The Diplomat</w:t>
        </w:r>
      </w:hyperlink>
    </w:p>
    <w:p>
      <w:pPr>
        <w:pStyle w:val="NoSpacing"/>
      </w:pPr>
      <w:r>
        <w:rPr>
          <w:b/>
        </w:rPr>
        <w:t xml:space="preserve">Consideration: </w:t>
      </w:r>
      <w:r>
        <w:t>Keep the Ministry's cultural programming clearly distinct from the security narrative — foreground credible delivery, safe international participation, public access to heritage and cultural sites, and genuine cultural exchange, rather than allowing cultural stories to be read through a security lens.</w:t>
      </w:r>
    </w:p>
    <w:p>
      <w:pPr>
        <w:pStyle w:val="NoSpacing"/>
      </w:pPr>
    </w:p>
    <w:p>
      <w:pPr>
        <w:pStyle w:val="NoSpacing"/>
      </w:pPr>
      <w:r>
        <w:rPr>
          <w:b/>
          <w:color w:val="000000"/>
        </w:rPr>
        <w:t>2. Maritime-route disruption and visitor-confidence risk</w:t>
      </w:r>
    </w:p>
    <w:p>
      <w:pPr>
        <w:pStyle w:val="NoSpacing"/>
      </w:pPr>
      <w:r>
        <w:t>The Houthi naval blockade announced on 20 July and disruption in the Strait of Hormuz have pushed more Saudi oil through Yanbu and the Red Sea, raising exposure around the Bab el-Mandeb chokepoint; Bangladesh's accession to the fourteen-member maritime coalition underlines how seriously regional partners now treat the threat. Heightened Red Sea risk perceptions could weigh on confidence in travel to Saudi cultural and heritage destinations, including Red Sea and AlUla-adjacent tourism.</w:t>
      </w:r>
    </w:p>
    <w:p>
      <w:pPr>
        <w:pStyle w:val="NoSpacing"/>
      </w:pPr>
      <w:r>
        <w:rPr>
          <w:b/>
        </w:rPr>
        <w:t xml:space="preserve">Source: </w:t>
      </w:r>
      <w:hyperlink r:id="rId11">
        <w:r>
          <w:rPr>
            <w:color w:val="0000FF"/>
            <w:u w:val="single"/>
            <w:rFonts w:ascii="Times New Roman" w:hAnsi="Times New Roman"/>
          </w:rPr>
          <w:t xml:space="preserve">The Diplomat</w:t>
        </w:r>
      </w:hyperlink>
    </w:p>
    <w:p>
      <w:pPr>
        <w:pStyle w:val="NoSpacing"/>
      </w:pPr>
      <w:r>
        <w:rPr>
          <w:b/>
        </w:rPr>
        <w:t xml:space="preserve">Consideration: </w:t>
      </w:r>
      <w:r>
        <w:t>Coordinate cultural-tourism messaging with tourism and security authorities to reassure international visitors and partners about the safety and stability of Saudi cultural sites, and emphasise inland heritage assets that are less exposed to maritime risk.</w:t>
      </w:r>
    </w:p>
    <w:p>
      <w:pPr>
        <w:pStyle w:val="NoSpacing"/>
      </w:pPr>
    </w:p>
    <w:p>
      <w:pPr>
        <w:pStyle w:val="NoSpacing"/>
      </w:pPr>
      <w:r>
        <w:rPr>
          <w:b/>
          <w:color w:val="A66500"/>
        </w:rPr>
        <w:t>Opportunities</w:t>
      </w:r>
    </w:p>
    <w:p>
      <w:pPr>
        <w:pStyle w:val="NoSpacing"/>
      </w:pPr>
      <w:r>
        <w:rPr>
          <w:b/>
          <w:color w:val="000000"/>
        </w:rPr>
        <w:t>1. Cultural soft power as a stabilising complement to the security posture</w:t>
      </w:r>
    </w:p>
    <w:p>
      <w:pPr>
        <w:pStyle w:val="NoSpacing"/>
      </w:pPr>
      <w:r>
        <w:t>As Saudi Arabia takes a more prominent regional-security role, cultural diplomacy offers a positive-sum counterweight that broadens the international story beyond hard security — international partnerships, festivals and heritage programming that present the Kingdom as a cultural convenor rather than only a security actor. Iran's deliberately measured response to the pact leaves room for exactly this kind of constructive, non-adversarial positioning.</w:t>
      </w:r>
    </w:p>
    <w:p>
      <w:pPr>
        <w:pStyle w:val="NoSpacing"/>
      </w:pPr>
      <w:r>
        <w:rPr>
          <w:b/>
        </w:rPr>
        <w:t xml:space="preserve">Source: </w:t>
      </w:r>
      <w:hyperlink r:id="rId9">
        <w:r>
          <w:rPr>
            <w:color w:val="0000FF"/>
            <w:u w:val="single"/>
            <w:rFonts w:ascii="Times New Roman" w:hAnsi="Times New Roman"/>
          </w:rPr>
          <w:t xml:space="preserve">Deutsche Welle</w:t>
        </w:r>
      </w:hyperlink>
      <w:r>
        <w:rPr>
          <w:b w:val="0"/>
        </w:rPr>
        <w:t xml:space="preserve">, </w:t>
      </w:r>
      <w:hyperlink r:id="rId10">
        <w:r>
          <w:rPr>
            <w:color w:val="0000FF"/>
            <w:u w:val="single"/>
            <w:rFonts w:ascii="Times New Roman" w:hAnsi="Times New Roman"/>
          </w:rPr>
          <w:t xml:space="preserve">The Diplomat</w:t>
        </w:r>
      </w:hyperlink>
      <w:r>
        <w:rPr>
          <w:b w:val="0"/>
        </w:rPr>
        <w:t xml:space="preserve">, </w:t>
      </w:r>
      <w:hyperlink r:id="rId12">
        <w:r>
          <w:rPr>
            <w:color w:val="0000FF"/>
            <w:u w:val="single"/>
            <w:rFonts w:ascii="Times New Roman" w:hAnsi="Times New Roman"/>
          </w:rPr>
          <w:t xml:space="preserve">Middle East Eye</w:t>
        </w:r>
      </w:hyperlink>
    </w:p>
    <w:p>
      <w:pPr>
        <w:pStyle w:val="NoSpacing"/>
      </w:pPr>
      <w:r>
        <w:rPr>
          <w:b/>
        </w:rPr>
        <w:t xml:space="preserve">Consideration: </w:t>
      </w:r>
      <w:r>
        <w:t>Lean into cultural exchange and international partnerships — loans, co-productions and festivals — to connect individual initiatives into a coherent soft-power narrative that runs alongside, and softens, the security headlines.</w:t>
      </w:r>
    </w:p>
    <w:p>
      <w:pPr>
        <w:pStyle w:val="NoSpacing"/>
      </w:pPr>
    </w:p>
    <w:p>
      <w:pPr>
        <w:pStyle w:val="NoSpacing"/>
      </w:pPr>
      <w:r>
        <w:rPr>
          <w:b/>
          <w:color w:val="000000"/>
        </w:rPr>
        <w:t>2. Riding global appetite for heritage-discovery storytelling</w:t>
      </w:r>
    </w:p>
    <w:p>
      <w:pPr>
        <w:pStyle w:val="NoSpacing"/>
      </w:pPr>
      <w:r>
        <w:t>Today's international coverage carries a strong cluster of heritage and archaeology discoveries — a Classical-period tomb at Aspendos announced by Türkiye's own culture minister, a trade-network find in California, colonial-era remains in Lima and a Roman shipwreck off Sicily — evidence of sustained global appetite for heritage narratives, and of how effectively neighbouring states use ministerial discovery announcements as cultural-diplomacy tools. Saudi Arabia's archaeology programme at AlUla, Hegra, Dadan and Al-Faw is well placed to capture the same attention.</w:t>
      </w:r>
    </w:p>
    <w:p>
      <w:pPr>
        <w:pStyle w:val="NoSpacing"/>
      </w:pPr>
      <w:r>
        <w:rPr>
          <w:b/>
        </w:rPr>
        <w:t xml:space="preserve">Source: </w:t>
      </w:r>
      <w:hyperlink r:id="rId13">
        <w:r>
          <w:rPr>
            <w:color w:val="0000FF"/>
            <w:u w:val="single"/>
            <w:rFonts w:ascii="Times New Roman" w:hAnsi="Times New Roman"/>
          </w:rPr>
          <w:t xml:space="preserve">Arkeonews</w:t>
        </w:r>
      </w:hyperlink>
      <w:r>
        <w:rPr>
          <w:b w:val="0"/>
        </w:rPr>
        <w:t xml:space="preserve">, </w:t>
      </w:r>
      <w:hyperlink r:id="rId15">
        <w:r>
          <w:rPr>
            <w:color w:val="0000FF"/>
            <w:u w:val="single"/>
            <w:rFonts w:ascii="Times New Roman" w:hAnsi="Times New Roman"/>
          </w:rPr>
          <w:t xml:space="preserve">The Art Newspaper</w:t>
        </w:r>
      </w:hyperlink>
      <w:r>
        <w:rPr>
          <w:b w:val="0"/>
        </w:rPr>
        <w:t xml:space="preserve">, </w:t>
      </w:r>
      <w:hyperlink r:id="rId16">
        <w:r>
          <w:rPr>
            <w:color w:val="0000FF"/>
            <w:u w:val="single"/>
            <w:rFonts w:ascii="Times New Roman" w:hAnsi="Times New Roman"/>
          </w:rPr>
          <w:t xml:space="preserve">Hyperallergic</w:t>
        </w:r>
      </w:hyperlink>
    </w:p>
    <w:p>
      <w:pPr>
        <w:pStyle w:val="NoSpacing"/>
      </w:pPr>
      <w:r>
        <w:rPr>
          <w:b/>
        </w:rPr>
        <w:t xml:space="preserve">Consideration: </w:t>
      </w:r>
      <w:r>
        <w:t>Time and amplify announcements of Saudi archaeological discoveries to ride this international heritage-news appetite, positioning the Kingdom within a global heritage-stewardship conversation without overstating Ministry ownership of finds led by other institutions.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w.com/en/which-country-is-the-new-mecca-defense-pact-targeting/a-78307673" TargetMode="External"/><Relationship Id="rId10" Type="http://schemas.openxmlformats.org/officeDocument/2006/relationships/hyperlink" Target="https://thediplomat.com/2026/08/the-mecca-pact-extends-pakistans-security-role-westward/" TargetMode="External"/><Relationship Id="rId11" Type="http://schemas.openxmlformats.org/officeDocument/2006/relationships/hyperlink" Target="https://thediplomat.com/2026/08/bangladesh-joins-saudi-led-defense-coalition-as-bab-el-mandeb-risks-grow/" TargetMode="External"/><Relationship Id="rId12" Type="http://schemas.openxmlformats.org/officeDocument/2006/relationships/hyperlink" Target="https://www.middleeasteye.net/news/iran-says-it-not-concerned-new-mecca-joint-defence-agreement" TargetMode="External"/><Relationship Id="rId13" Type="http://schemas.openxmlformats.org/officeDocument/2006/relationships/hyperlink" Target="https://arkeonews.net/2400-year-old-tomb-of-a-possible-ancient-wrestler-discovered-at-aspendos/" TargetMode="External"/><Relationship Id="rId14" Type="http://schemas.openxmlformats.org/officeDocument/2006/relationships/hyperlink" Target="https://arkeonews.net/8500-year-old-shell-bead-reveals-ancient-californias-hidden-trade-network/" TargetMode="External"/><Relationship Id="rId15" Type="http://schemas.openxmlformats.org/officeDocument/2006/relationships/hyperlink" Target="https://www.theartnewspaper.com/2026/08/10/remains-colonial-hospital-discovered-luma" TargetMode="External"/><Relationship Id="rId16" Type="http://schemas.openxmlformats.org/officeDocument/2006/relationships/hyperlink" Target="https://hyperallergic.com/divers-stumble-upon-2-000-year-old-roman-shipwreck-in-italy/" TargetMode="External"/><Relationship Id="rId17" Type="http://schemas.openxmlformats.org/officeDocument/2006/relationships/hyperlink" Target="https://hyperallergic.com/national-gallery-of-art-protects-works-ahead-of-trumps-indycar-race/" TargetMode="External"/><Relationship Id="rId18" Type="http://schemas.openxmlformats.org/officeDocument/2006/relationships/hyperlink" Target="https://www.theartnewspaper.com/2026/08/10/uk-ministry-of-justice-spent-more-than-%C2%A385000-removing-banksy-mural-from-the-royal-courts-of-justice" TargetMode="External"/><Relationship Id="rId19" Type="http://schemas.openxmlformats.org/officeDocument/2006/relationships/hyperlink" Target="https://www.dezeen.com/2026/08/10/terafab-elon-musk-spacex-tesla-largest-building/" TargetMode="External"/><Relationship Id="rId20" Type="http://schemas.openxmlformats.org/officeDocument/2006/relationships/hyperlink" Target="https://www.dezeen.com/2026/08/10/ai-architectural-renderings-eu-ai-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