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30 July 2026</w:t>
      </w:r>
    </w:p>
    <w:p>
      <w:pPr>
        <w:pStyle w:val="NoSpacing"/>
      </w:pPr>
    </w:p>
    <w:p>
      <w:pPr>
        <w:pStyle w:val="NoSpacing"/>
      </w:pPr>
      <w:r>
        <w:rPr>
          <w:b/>
          <w:color w:val="4A86E8"/>
        </w:rPr>
        <w:t>Saudi Arabia/Regional</w:t>
      </w:r>
    </w:p>
    <w:p>
      <w:pPr>
        <w:pStyle w:val="ListBullet"/>
      </w:pPr>
      <w:r>
        <w:t>Saudi Arabia's Strikes in Iraq Mark Entry Into U.S.-Iran War</w:t>
      </w:r>
    </w:p>
    <w:p>
      <w:pPr>
        <w:pStyle w:val="ListBullet"/>
      </w:pPr>
      <w:r>
        <w:t>US-Saudi strikes in Iraq push region into 'uncharted territory', analysts warn</w:t>
      </w:r>
    </w:p>
    <w:p>
      <w:pPr>
        <w:pStyle w:val="ListBullet"/>
      </w:pPr>
      <w:r>
        <w:t>Oil jumps as U.S.-Iran resume strikes after a brief pause</w:t>
      </w:r>
    </w:p>
    <w:p>
      <w:pPr>
        <w:pStyle w:val="ListBullet"/>
      </w:pPr>
      <w:r>
        <w:t>Saudi Arabia seeks international coalition to protect Red Sea shipping from Houthis, two sources say</w:t>
      </w:r>
    </w:p>
    <w:p>
      <w:pPr>
        <w:pStyle w:val="NoSpacing"/>
      </w:pPr>
    </w:p>
    <w:p>
      <w:pPr>
        <w:pStyle w:val="NoSpacing"/>
      </w:pPr>
      <w:r>
        <w:rPr>
          <w:b/>
          <w:color w:val="EE0000"/>
        </w:rPr>
        <w:t>Negative Articles</w:t>
      </w:r>
    </w:p>
    <w:p>
      <w:pPr>
        <w:pStyle w:val="ListBullet"/>
      </w:pPr>
      <w:r>
        <w:t>Iraq calls Saudi-US attacks a 'flagrant violation of sovereignty'</w:t>
      </w:r>
    </w:p>
    <w:p>
      <w:pPr>
        <w:pStyle w:val="NoSpacing"/>
      </w:pPr>
    </w:p>
    <w:p>
      <w:pPr>
        <w:pStyle w:val="NoSpacing"/>
      </w:pPr>
      <w:r>
        <w:rPr>
          <w:b/>
          <w:color w:val="4A86E8"/>
        </w:rPr>
        <w:t>Global</w:t>
      </w:r>
    </w:p>
    <w:p>
      <w:pPr>
        <w:pStyle w:val="ListBullet"/>
      </w:pPr>
      <w:r>
        <w:t>Betye Saar, assemblage artist who reframed racist and sexist imagery, has died, aged 99</w:t>
      </w:r>
    </w:p>
    <w:p>
      <w:pPr>
        <w:pStyle w:val="ListBullet"/>
      </w:pPr>
      <w:r>
        <w:t>Sites in Iran, Lebanon and Palestine among 25 new additions to Unesco's World Heritage List</w:t>
      </w:r>
    </w:p>
    <w:p>
      <w:pPr>
        <w:pStyle w:val="ListBullet"/>
      </w:pPr>
      <w:r>
        <w:t>English Heritage debuts daily prize draw for 'private time' at Stonehenge this August</w:t>
      </w:r>
    </w:p>
    <w:p>
      <w:pPr>
        <w:pStyle w:val="ListBullet"/>
      </w:pPr>
      <w:r>
        <w:t>Archaeologists Unearth Two Miniature Mammoth Ivory Birds Carved 40,000 Years Ago</w:t>
      </w:r>
    </w:p>
    <w:p>
      <w:pPr>
        <w:pStyle w:val="ListBullet"/>
      </w:pPr>
      <w:r>
        <w:t>Iberian Warrior Family Buried 2,200 Years Ago with Falcatas and a Tanit Burner Discovered in Alicante</w:t>
      </w:r>
    </w:p>
    <w:p>
      <w:pPr>
        <w:pStyle w:val="ListBullet"/>
      </w:pPr>
      <w:r>
        <w:t>Arts groups in US cities that increased culture funding during Covid have rebounded more quickly: report</w:t>
      </w:r>
    </w:p>
    <w:p>
      <w:pPr>
        <w:pStyle w:val="ListBullet"/>
      </w:pPr>
      <w:r>
        <w:t>Glen Hansard died in single-vehicle crash in Dublin shortly before 4.30am</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Arabia has carried out direct air strikes on Iran-backed militias in Iraq in coordination with US Central Command, its first such action of the 2026 conflict, after the Kingdom said more than 30 drones had targeted its oil facilities over three days. The move positions Saudi Arabia as an active party in the wider US-Iran war rather than a bystander, a shift that reshapes the security backdrop against which the Ministry's cultural programme and its international partnerships now operate. (</w:t>
      </w:r>
      <w:hyperlink r:id="rId9">
        <w:r>
          <w:rPr>
            <w:color w:val="0000FF"/>
            <w:u w:val="single"/>
            <w:rFonts w:ascii="Times New Roman" w:hAnsi="Times New Roman"/>
          </w:rPr>
          <w:t xml:space="preserve">The New York Times</w:t>
        </w:r>
      </w:hyperlink>
      <w:r>
        <w:rPr>
          <w:b w:val="0"/>
        </w:rPr>
        <w:t>)</w:t>
      </w:r>
    </w:p>
    <w:p>
      <w:pPr>
        <w:pStyle w:val="ListBullet"/>
      </w:pPr>
      <w:r>
        <w:rPr>
          <w:b w:val="0"/>
        </w:rPr>
        <w:t>Analysts cited by the Guardian warned that the joint US-Saudi strikes have pushed the region into 'uncharted territory', with Iran-aligned Iraqi factions threatening retaliation against Saudi assets. The analysis underscores how quickly the security environment can shift, and why the Kingdom's cultural messaging benefits from a steady, apolitical footing while the geopolitical picture remains unsettled. (</w:t>
      </w:r>
      <w:hyperlink r:id="rId10">
        <w:r>
          <w:rPr>
            <w:color w:val="0000FF"/>
            <w:u w:val="single"/>
            <w:rFonts w:ascii="Times New Roman" w:hAnsi="Times New Roman"/>
          </w:rPr>
          <w:t xml:space="preserve">The Guardian</w:t>
        </w:r>
      </w:hyperlink>
      <w:r>
        <w:rPr>
          <w:b w:val="0"/>
        </w:rPr>
        <w:t>)</w:t>
      </w:r>
    </w:p>
    <w:p>
      <w:pPr>
        <w:pStyle w:val="ListBullet"/>
      </w:pPr>
      <w:r>
        <w:rPr>
          <w:b w:val="0"/>
        </w:rPr>
        <w:t>Oil prices rose sharply after the resumption of strikes, with Brent crude gaining roughly 6 to 8 per cent on the day as markets priced in renewed risk to Gulf energy supply following attacks on Saudi facilities, according to CNBC. The volatility is a reminder that the fiscal capacity underpinning the Kingdom's cultural diversification agenda remains exposed to the very energy-market swings that agenda is intended to reduce reliance on. (</w:t>
      </w:r>
      <w:hyperlink r:id="rId11">
        <w:r>
          <w:rPr>
            <w:color w:val="0000FF"/>
            <w:u w:val="single"/>
            <w:rFonts w:ascii="Times New Roman" w:hAnsi="Times New Roman"/>
          </w:rPr>
          <w:t xml:space="preserve">CNBC</w:t>
        </w:r>
      </w:hyperlink>
      <w:r>
        <w:rPr>
          <w:b w:val="0"/>
        </w:rPr>
        <w:t>)</w:t>
      </w:r>
    </w:p>
    <w:p>
      <w:pPr>
        <w:pStyle w:val="ListBullet"/>
      </w:pPr>
      <w:r>
        <w:rPr>
          <w:b w:val="0"/>
        </w:rPr>
        <w:t>Middle East Eye reported, citing two sources, that Saudi Arabia is seeking to assemble an international coalition to protect Red Sea shipping from Houthi attacks after a threatened maritime embargo on the Kingdom. The report — from an outlet whose framing on Gulf politics should be read in light of its Qatar-linked backing — points to a Saudi push to internationalise the response, and bears on the security of the trade and travel corridors that also carry cultural tourism. (</w:t>
      </w:r>
      <w:hyperlink r:id="rId12">
        <w:r>
          <w:rPr>
            <w:color w:val="0000FF"/>
            <w:u w:val="single"/>
            <w:rFonts w:ascii="Times New Roman" w:hAnsi="Times New Roman"/>
          </w:rPr>
          <w:t xml:space="preserve">Middle East Eye</w:t>
        </w:r>
      </w:hyperlink>
      <w:r>
        <w:rPr>
          <w:b w:val="0"/>
        </w:rPr>
        <w:t>)</w:t>
      </w:r>
    </w:p>
    <w:p>
      <w:pPr>
        <w:pStyle w:val="NoSpacing"/>
      </w:pPr>
    </w:p>
    <w:p>
      <w:pPr>
        <w:pStyle w:val="NoSpacing"/>
      </w:pPr>
      <w:r>
        <w:rPr>
          <w:b/>
          <w:color w:val="EE0000"/>
        </w:rPr>
        <w:t>Negative Articles</w:t>
      </w:r>
    </w:p>
    <w:p>
      <w:pPr>
        <w:pStyle w:val="ListBullet"/>
      </w:pPr>
      <w:r>
        <w:rPr>
          <w:b w:val="0"/>
        </w:rPr>
        <w:t>Iraq's National Security Council condemned the joint Saudi-US strikes as a 'flagrant violation of sovereignty', with the Popular Mobilisation Forces reporting at least 20 fighters killed, funerals held in Mosul and protesters in Baghdad demanding the Saudi ambassador's expulsion, as reported by Al Jazeera. This adversarial framing — amplified by an outlet funded by the Qatari state — casts Saudi Arabia as an aggressor against a sovereign neighbour rather than a state defending its own infrastructure, a reputational counter-narrative the Ministry should expect to see echoed across politically aligned media. (</w:t>
      </w:r>
      <w:hyperlink r:id="rId13">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The Art Newspaper reports the death of American artist Betye Saar at the age of 99, the assemblage pioneer whose work reframed racist and sexist imagery and who is best known for The Liberation of Aunt Jemima. Her passing is a significant moment for the global visual-arts community and a reminder of the enduring international reach of artists who interrogate cultural memory — a theme with clear resonance for the Kingdom's own visual-arts ambitions. (</w:t>
      </w:r>
      <w:hyperlink r:id="rId14">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UNESCO's 48th World Heritage Committee session in Busan closed with 25 new sites inscribed, including sites in Iran, Lebanon and Palestine fast-tracked under an emergency procedure for heritage facing conflict threats, The Art Newspaper reports. With the global total now at 1,273 properties, the session keeps heritage preservation high on the international agenda — a context that aligns closely with the Kingdom's portfolio of eight inscribed sites and its heritage-diplomacy narrative. (</w:t>
      </w:r>
      <w:hyperlink r:id="rId15">
        <w:r>
          <w:rPr>
            <w:color w:val="0000FF"/>
            <w:u w:val="single"/>
            <w:rFonts w:ascii="Times New Roman" w:hAnsi="Times New Roman"/>
          </w:rPr>
          <w:t xml:space="preserve">The Art Newspaper</w:t>
        </w:r>
      </w:hyperlink>
      <w:r>
        <w:rPr>
          <w:b w:val="0"/>
        </w:rPr>
        <w:t>)</w:t>
      </w:r>
    </w:p>
    <w:p>
      <w:pPr>
        <w:pStyle w:val="ListBullet"/>
      </w:pPr>
      <w:r>
        <w:rPr>
          <w:b w:val="0"/>
        </w:rPr>
        <w:t>English Heritage has launched a daily prize draw offering members the chance to win 'private time' at Stonehenge this August, The Art Newspaper reports, as heritage bodies experiment with new access and revenue models. The initiative illustrates how established heritage organisations are balancing mass tourism against premium, curated visitor experiences — a tension directly relevant to how the Kingdom develops access to sites such as Hegra and AlUla. (</w:t>
      </w:r>
      <w:hyperlink r:id="rId16">
        <w:r>
          <w:rPr>
            <w:color w:val="0000FF"/>
            <w:u w:val="single"/>
            <w:rFonts w:ascii="Times New Roman" w:hAnsi="Times New Roman"/>
          </w:rPr>
          <w:t xml:space="preserve">The Art Newspaper</w:t>
        </w:r>
      </w:hyperlink>
      <w:r>
        <w:rPr>
          <w:b w:val="0"/>
        </w:rPr>
        <w:t>)</w:t>
      </w:r>
    </w:p>
    <w:p>
      <w:pPr>
        <w:pStyle w:val="ListBullet"/>
      </w:pPr>
      <w:r>
        <w:rPr>
          <w:b w:val="0"/>
        </w:rPr>
        <w:t>Archaeologists have unearthed two miniature mammoth-ivory birds carved some 40,000 years ago, Arkeonews reports, among the oldest known figurative carvings of their kind. Discoveries like this sustain strong international appetite for deep-time archaeology, the same public fascination the Kingdom is tapping through its rock-art and early-human research across the north-west. (</w:t>
      </w:r>
      <w:hyperlink r:id="rId17">
        <w:r>
          <w:rPr>
            <w:color w:val="0000FF"/>
            <w:u w:val="single"/>
            <w:rFonts w:ascii="Times New Roman" w:hAnsi="Times New Roman"/>
          </w:rPr>
          <w:t xml:space="preserve">Arkeonews</w:t>
        </w:r>
      </w:hyperlink>
      <w:r>
        <w:rPr>
          <w:b w:val="0"/>
        </w:rPr>
        <w:t>)</w:t>
      </w:r>
    </w:p>
    <w:p>
      <w:pPr>
        <w:pStyle w:val="ListBullet"/>
      </w:pPr>
      <w:r>
        <w:rPr>
          <w:b w:val="0"/>
        </w:rPr>
        <w:t>Arkeonews reports the discovery near Alicante of an Iberian warrior family burial dating back some 2,200 years, complete with falcata swords and a Tanit incense burner pointing to Punic religious influence. The find shows how excavation of pre-classical Mediterranean cultures continues to draw international coverage, offering a comparative frame for the Kingdom's own promotion of pre-Islamic Arabian heritage such as Dadan and Al-Faw. (</w:t>
      </w:r>
      <w:hyperlink r:id="rId18">
        <w:r>
          <w:rPr>
            <w:color w:val="0000FF"/>
            <w:u w:val="single"/>
            <w:rFonts w:ascii="Times New Roman" w:hAnsi="Times New Roman"/>
          </w:rPr>
          <w:t xml:space="preserve">Arkeonews</w:t>
        </w:r>
      </w:hyperlink>
      <w:r>
        <w:rPr>
          <w:b w:val="0"/>
        </w:rPr>
        <w:t>)</w:t>
      </w:r>
    </w:p>
    <w:p>
      <w:pPr>
        <w:pStyle w:val="NoSpacing"/>
      </w:pPr>
      <w:r>
        <w:rPr>
          <w:b/>
          <w:color w:val="000000"/>
        </w:rPr>
        <w:t>General:</w:t>
      </w:r>
    </w:p>
    <w:p>
      <w:pPr>
        <w:pStyle w:val="ListBullet"/>
      </w:pPr>
      <w:r>
        <w:rPr>
          <w:b w:val="0"/>
        </w:rPr>
        <w:t>A new study reported by The Art Newspaper finds that arts organisations in US cities that increased cultural funding during the pandemic have recovered more quickly than those that cut it. The finding offers external, evidence-based support for sustained public investment in culture — a useful reference point for governments, the Kingdom among them, funding cultural sectors as a long-term diversification strategy. (</w:t>
      </w:r>
      <w:hyperlink r:id="rId19">
        <w:r>
          <w:rPr>
            <w:color w:val="0000FF"/>
            <w:u w:val="single"/>
            <w:rFonts w:ascii="Times New Roman" w:hAnsi="Times New Roman"/>
          </w:rPr>
          <w:t xml:space="preserve">The Art Newspaper</w:t>
        </w:r>
      </w:hyperlink>
      <w:r>
        <w:rPr>
          <w:b w:val="0"/>
        </w:rPr>
        <w:t>)</w:t>
      </w:r>
    </w:p>
    <w:p>
      <w:pPr>
        <w:pStyle w:val="NoSpacing"/>
      </w:pPr>
      <w:r>
        <w:rPr>
          <w:b/>
          <w:color w:val="000000"/>
        </w:rPr>
        <w:t>Music:</w:t>
      </w:r>
    </w:p>
    <w:p>
      <w:pPr>
        <w:pStyle w:val="ListBullet"/>
      </w:pPr>
      <w:r>
        <w:rPr>
          <w:b w:val="0"/>
        </w:rPr>
        <w:t>The Irish Times reports the death of Oscar-winning Irish musician Glen Hansard, frontman of The Frames and co-star of the film Once, who died aged 56 in a single-vehicle crash in Dublin. His death has prompted wide international tributes across the music world, underlining how individual artists become enduring cultural ambassadors for their countries — a model of soft-power reach the Kingdom is working to cultivate for its own musicians. (</w:t>
      </w:r>
      <w:hyperlink r:id="rId20">
        <w:r>
          <w:rPr>
            <w:color w:val="0000FF"/>
            <w:u w:val="single"/>
            <w:rFonts w:ascii="Times New Roman" w:hAnsi="Times New Roman"/>
          </w:rPr>
          <w:t xml:space="preserve">The Irish Times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threatens visitor confidence and the cultural calendar</w:t>
      </w:r>
    </w:p>
    <w:p>
      <w:pPr>
        <w:pStyle w:val="NoSpacing"/>
      </w:pPr>
      <w:r>
        <w:t>Saudi Arabia's direct strikes on Iran-backed militias in Iraq, alongside Iranian missile barrages and Houthi threats to Red Sea shipping, mark its entry into the wider regional conflict and have driven renewed oil-price volatility. Sustained escalation risks dampening inbound tourism, complicating the international participation that anchors flagship cultural programming, and crowding cultural coverage out of the international news agenda.</w:t>
      </w:r>
    </w:p>
    <w:p>
      <w:pPr>
        <w:pStyle w:val="NoSpacing"/>
      </w:pPr>
      <w:r>
        <w:rPr>
          <w:b/>
        </w:rPr>
        <w:t xml:space="preserve">Source: </w:t>
      </w:r>
      <w:hyperlink r:id="rId9">
        <w:r>
          <w:rPr>
            <w:color w:val="0000FF"/>
            <w:u w:val="single"/>
            <w:rFonts w:ascii="Times New Roman" w:hAnsi="Times New Roman"/>
          </w:rPr>
          <w:t xml:space="preserve">The New York Times</w:t>
        </w:r>
      </w:hyperlink>
      <w:r>
        <w:rPr>
          <w:b w:val="0"/>
        </w:rPr>
        <w:t xml:space="preserve">, </w:t>
      </w:r>
      <w:hyperlink r:id="rId10">
        <w:r>
          <w:rPr>
            <w:color w:val="0000FF"/>
            <w:u w:val="single"/>
            <w:rFonts w:ascii="Times New Roman" w:hAnsi="Times New Roman"/>
          </w:rPr>
          <w:t xml:space="preserve">The Guardian</w:t>
        </w:r>
      </w:hyperlink>
      <w:r>
        <w:rPr>
          <w:b w:val="0"/>
        </w:rPr>
        <w:t xml:space="preserve">, </w:t>
      </w:r>
      <w:hyperlink r:id="rId11">
        <w:r>
          <w:rPr>
            <w:color w:val="0000FF"/>
            <w:u w:val="single"/>
            <w:rFonts w:ascii="Times New Roman" w:hAnsi="Times New Roman"/>
          </w:rPr>
          <w:t xml:space="preserve">CNBC</w:t>
        </w:r>
      </w:hyperlink>
    </w:p>
    <w:p>
      <w:pPr>
        <w:pStyle w:val="NoSpacing"/>
      </w:pPr>
      <w:r>
        <w:rPr>
          <w:b/>
        </w:rPr>
        <w:t xml:space="preserve">Consideration: </w:t>
      </w:r>
      <w:r>
        <w:t>The Ministry should keep its cultural narrative clearly distinct from the security story — foregrounding continuity of programming, the safety and reliability of international participation, and heritage stewardship — so that cultural confidence is insulated from short-term geopolitical shocks.</w:t>
      </w:r>
    </w:p>
    <w:p>
      <w:pPr>
        <w:pStyle w:val="NoSpacing"/>
      </w:pPr>
    </w:p>
    <w:p>
      <w:pPr>
        <w:pStyle w:val="NoSpacing"/>
      </w:pPr>
      <w:r>
        <w:rPr>
          <w:b/>
          <w:color w:val="000000"/>
        </w:rPr>
        <w:t>2. Adversarial framing of the Iraq strikes as Saudi aggression</w:t>
      </w:r>
    </w:p>
    <w:p>
      <w:pPr>
        <w:pStyle w:val="NoSpacing"/>
      </w:pPr>
      <w:r>
        <w:t>Al Jazeera and Iraqi official bodies have framed the joint Saudi-US strikes as a 'flagrant violation of sovereignty', with the Popular Mobilisation Forces reporting at least 20 fighters killed and street protests calling for the Saudi ambassador's expulsion. This framing, amplified by outlets aligned with rival regional interests, risks bleeding into perceptions of the Kingdom's wider international posture, including its cultural diplomacy.</w:t>
      </w:r>
    </w:p>
    <w:p>
      <w:pPr>
        <w:pStyle w:val="NoSpacing"/>
      </w:pPr>
      <w:r>
        <w:rPr>
          <w:b/>
        </w:rPr>
        <w:t xml:space="preserve">Source: </w:t>
      </w:r>
      <w:hyperlink r:id="rId13">
        <w:r>
          <w:rPr>
            <w:color w:val="0000FF"/>
            <w:u w:val="single"/>
            <w:rFonts w:ascii="Times New Roman" w:hAnsi="Times New Roman"/>
          </w:rPr>
          <w:t xml:space="preserve">Al Jazeera</w:t>
        </w:r>
      </w:hyperlink>
    </w:p>
    <w:p>
      <w:pPr>
        <w:pStyle w:val="NoSpacing"/>
      </w:pPr>
      <w:r>
        <w:rPr>
          <w:b/>
        </w:rPr>
        <w:t xml:space="preserve">Consideration: </w:t>
      </w:r>
      <w:r>
        <w:t>The Ministry should avoid engaging the security controversy through cultural channels and instead sustain neutral, exchange-focused messaging — international partnerships, artist mobility and heritage cooperation — that demonstrates openness independent of the conflict narrative.</w:t>
      </w:r>
    </w:p>
    <w:p>
      <w:pPr>
        <w:pStyle w:val="NoSpacing"/>
      </w:pPr>
    </w:p>
    <w:p>
      <w:pPr>
        <w:pStyle w:val="NoSpacing"/>
      </w:pPr>
      <w:r>
        <w:rPr>
          <w:b/>
          <w:color w:val="A66500"/>
        </w:rPr>
        <w:t>Opportunities</w:t>
      </w:r>
    </w:p>
    <w:p>
      <w:pPr>
        <w:pStyle w:val="NoSpacing"/>
      </w:pPr>
      <w:r>
        <w:rPr>
          <w:b/>
          <w:color w:val="000000"/>
        </w:rPr>
        <w:t>1. A strong global heritage moment to anchor the Kingdom's own stewardship story</w:t>
      </w:r>
    </w:p>
    <w:p>
      <w:pPr>
        <w:pStyle w:val="NoSpacing"/>
      </w:pPr>
      <w:r>
        <w:t>The close of UNESCO's 48th World Heritage Committee session — which inscribed 25 new sites, including conflict-threatened heritage placed on the danger list — together with a run of major archaeological discoveries has put heritage preservation at the centre of the global cultural conversation. This aligns closely with Saudi Arabia's own heritage agenda and its existing World Heritage portfolio.</w:t>
      </w:r>
    </w:p>
    <w:p>
      <w:pPr>
        <w:pStyle w:val="NoSpacing"/>
      </w:pPr>
      <w:r>
        <w:rPr>
          <w:b/>
        </w:rPr>
        <w:t xml:space="preserve">Source: </w:t>
      </w:r>
      <w:hyperlink r:id="rId15">
        <w:r>
          <w:rPr>
            <w:color w:val="0000FF"/>
            <w:u w:val="single"/>
            <w:rFonts w:ascii="Times New Roman" w:hAnsi="Times New Roman"/>
          </w:rPr>
          <w:t xml:space="preserve">The Art Newspaper</w:t>
        </w:r>
      </w:hyperlink>
      <w:r>
        <w:rPr>
          <w:b w:val="0"/>
        </w:rPr>
        <w:t xml:space="preserve">, </w:t>
      </w:r>
      <w:hyperlink r:id="rId17">
        <w:r>
          <w:rPr>
            <w:color w:val="0000FF"/>
            <w:u w:val="single"/>
            <w:rFonts w:ascii="Times New Roman" w:hAnsi="Times New Roman"/>
          </w:rPr>
          <w:t xml:space="preserve">Arkeonews</w:t>
        </w:r>
      </w:hyperlink>
    </w:p>
    <w:p>
      <w:pPr>
        <w:pStyle w:val="NoSpacing"/>
      </w:pPr>
      <w:r>
        <w:rPr>
          <w:b/>
        </w:rPr>
        <w:t xml:space="preserve">Consideration: </w:t>
      </w:r>
      <w:r>
        <w:t>The Ministry can connect these global heritage stories to the Kingdom's own stewardship narrative — its inscribed sites and active archaeological programme — positioning heritage as a durable, apolitical pillar of national cultural identity that reads clearly to international audiences.</w:t>
      </w:r>
    </w:p>
    <w:p>
      <w:pPr>
        <w:pStyle w:val="NoSpacing"/>
      </w:pPr>
    </w:p>
    <w:p>
      <w:pPr>
        <w:pStyle w:val="NoSpacing"/>
      </w:pPr>
      <w:r>
        <w:rPr>
          <w:b/>
          <w:color w:val="000000"/>
        </w:rPr>
        <w:t>2. Independent evidence that sustained cultural investment pays off</w:t>
      </w:r>
    </w:p>
    <w:p>
      <w:pPr>
        <w:pStyle w:val="NoSpacing"/>
      </w:pPr>
      <w:r>
        <w:t>New research reported by The Art Newspaper finds that arts organisations in cities that increased cultural funding through the pandemic have recovered more quickly than those that cut it, offering external validation for counter-cyclical investment in culture.</w:t>
      </w:r>
    </w:p>
    <w:p>
      <w:pPr>
        <w:pStyle w:val="NoSpacing"/>
      </w:pPr>
      <w:r>
        <w:rPr>
          <w:b/>
        </w:rPr>
        <w:t xml:space="preserve">Source: </w:t>
      </w:r>
      <w:hyperlink r:id="rId19">
        <w:r>
          <w:rPr>
            <w:color w:val="0000FF"/>
            <w:u w:val="single"/>
            <w:rFonts w:ascii="Times New Roman" w:hAnsi="Times New Roman"/>
          </w:rPr>
          <w:t xml:space="preserve">The Art Newspaper</w:t>
        </w:r>
      </w:hyperlink>
    </w:p>
    <w:p>
      <w:pPr>
        <w:pStyle w:val="NoSpacing"/>
      </w:pPr>
      <w:r>
        <w:rPr>
          <w:b/>
        </w:rPr>
        <w:t xml:space="preserve">Consideration: </w:t>
      </w:r>
      <w:r>
        <w:t>The Ministry can cite independent evidence of this kind to frame its ongoing commission-level investment as a resilience strategy, reinforcing the case for maintaining cultural spending even amid competing fiscal and security pressures.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ytimes.com/2026/07/29/world/middleeast/saudi-arabia-us-iran-war.html" TargetMode="External"/><Relationship Id="rId10" Type="http://schemas.openxmlformats.org/officeDocument/2006/relationships/hyperlink" Target="https://www.theguardian.com/world/2026/jul/29/us-saudi-strikes-in-iraq-have-pushed-the-region-into-uncharted-territory-analysts-warn" TargetMode="External"/><Relationship Id="rId11" Type="http://schemas.openxmlformats.org/officeDocument/2006/relationships/hyperlink" Target="https://www.cnbc.com/2026/07/29/oil-prices-today-brent-wti-iran-us-hormuz.html" TargetMode="External"/><Relationship Id="rId12" Type="http://schemas.openxmlformats.org/officeDocument/2006/relationships/hyperlink" Target="https://www.middleeasteye.net/live-blog/live-blog-update/saudi-arabia-seeks-international-coalition-protect-red-sea-shipping" TargetMode="External"/><Relationship Id="rId13" Type="http://schemas.openxmlformats.org/officeDocument/2006/relationships/hyperlink" Target="https://www.aljazeera.com/news/2026/7/29/iraq-calls-saudi-us-attacks-flagrant-violation-of-sovereignty" TargetMode="External"/><Relationship Id="rId14" Type="http://schemas.openxmlformats.org/officeDocument/2006/relationships/hyperlink" Target="https://www.theartnewspaper.com/2026/07/29/betye-saar-obituary-legendary-los-angeles-assemblage-artist" TargetMode="External"/><Relationship Id="rId15" Type="http://schemas.openxmlformats.org/officeDocument/2006/relationships/hyperlink" Target="https://www.theartnewspaper.com/2026/07/29/sites-in-iran-lebanon-and-palestine-among-25-new-additions-to-unescos-world-heritage-list" TargetMode="External"/><Relationship Id="rId16" Type="http://schemas.openxmlformats.org/officeDocument/2006/relationships/hyperlink" Target="https://www.theartnewspaper.com/2026/07/29/english-heritage-debuts-daily-prize-draw-for-private-time-at-stonehenge-this-august" TargetMode="External"/><Relationship Id="rId17" Type="http://schemas.openxmlformats.org/officeDocument/2006/relationships/hyperlink" Target="https://arkeonews.net/archaeologists-unearth-two-miniature-mammoth-ivory-birds-carved-40000-years-ago/" TargetMode="External"/><Relationship Id="rId18" Type="http://schemas.openxmlformats.org/officeDocument/2006/relationships/hyperlink" Target="https://arkeonews.net/iberian-warrior-family-buried-2200-years-ago-with-falcatas-and-a-tanit-burner-discovered-in-alicante/" TargetMode="External"/><Relationship Id="rId19" Type="http://schemas.openxmlformats.org/officeDocument/2006/relationships/hyperlink" Target="https://www.theartnewspaper.com/2026/07/29/municipal-arts-funding-covid-rebound-dataarts-southern-methodist-university-study" TargetMode="External"/><Relationship Id="rId20" Type="http://schemas.openxmlformats.org/officeDocument/2006/relationships/hyperlink" Target="https://www.irishtimes.com/culture/music/2026/07/29/glen-hansard-dies-in-dublin-motorbike-cr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