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23 July 2026</w:t>
      </w:r>
    </w:p>
    <w:p>
      <w:pPr>
        <w:pStyle w:val="NoSpacing"/>
      </w:pPr>
    </w:p>
    <w:p>
      <w:pPr>
        <w:pStyle w:val="NoSpacing"/>
      </w:pPr>
      <w:r>
        <w:rPr>
          <w:b/>
          <w:color w:val="4A86E8"/>
        </w:rPr>
        <w:t>Saudi Arabia/Regional</w:t>
      </w:r>
    </w:p>
    <w:p>
      <w:pPr>
        <w:pStyle w:val="ListBullet"/>
      </w:pPr>
      <w:r>
        <w:t>Trump approves nuclear agreement that may allow Saudi Arabia to enrich uranium</w:t>
      </w:r>
    </w:p>
    <w:p>
      <w:pPr>
        <w:pStyle w:val="ListBullet"/>
      </w:pPr>
      <w:r>
        <w:t>Houthis Claim Strikes on 2 Saudi Oil Tankers in Red Sea</w:t>
      </w:r>
    </w:p>
    <w:p>
      <w:pPr>
        <w:pStyle w:val="ListBullet"/>
      </w:pPr>
      <w:r>
        <w:t>Saudi nuclear deal delivers strategic economic prizes as Trump boosts Gulf allies</w:t>
      </w:r>
    </w:p>
    <w:p>
      <w:pPr>
        <w:pStyle w:val="NoSpacing"/>
      </w:pPr>
    </w:p>
    <w:p>
      <w:pPr>
        <w:pStyle w:val="NoSpacing"/>
      </w:pPr>
      <w:r>
        <w:rPr>
          <w:b/>
          <w:color w:val="EE0000"/>
        </w:rPr>
        <w:t>Negative Articles</w:t>
      </w:r>
    </w:p>
    <w:p>
      <w:pPr>
        <w:pStyle w:val="ListBullet"/>
      </w:pPr>
      <w:r>
        <w:t>Trump to approve nuclear deal with Saudi Arabia despite regional proliferation risks</w:t>
      </w:r>
    </w:p>
    <w:p>
      <w:pPr>
        <w:pStyle w:val="ListBullet"/>
      </w:pPr>
      <w:r>
        <w:t>Yemen says retaliatory naval operations against Saudi targets to continue under 'siege for a siege' policy</w:t>
      </w:r>
    </w:p>
    <w:p>
      <w:pPr>
        <w:pStyle w:val="ListBullet"/>
      </w:pPr>
      <w:r>
        <w:t>Deserted island: what happened at Sindalah and what's next</w:t>
      </w:r>
    </w:p>
    <w:p>
      <w:pPr>
        <w:pStyle w:val="NoSpacing"/>
      </w:pPr>
    </w:p>
    <w:p>
      <w:pPr>
        <w:pStyle w:val="NoSpacing"/>
      </w:pPr>
      <w:r>
        <w:rPr>
          <w:b/>
          <w:color w:val="4A86E8"/>
        </w:rPr>
        <w:t>Global</w:t>
      </w:r>
    </w:p>
    <w:p>
      <w:pPr>
        <w:pStyle w:val="ListBullet"/>
      </w:pPr>
      <w:r>
        <w:t>The Louvre's Apollo Gallery Reopens, This Time Without Any Crown Jewels</w:t>
      </w:r>
    </w:p>
    <w:p>
      <w:pPr>
        <w:pStyle w:val="ListBullet"/>
      </w:pPr>
      <w:r>
        <w:t>Jessica Morgan named new Tate director</w:t>
      </w:r>
    </w:p>
    <w:p>
      <w:pPr>
        <w:pStyle w:val="ListBullet"/>
      </w:pPr>
      <w:r>
        <w:t>European Union officially pulls €2m Venice Biennale funding over Russian participation</w:t>
      </w:r>
    </w:p>
    <w:p>
      <w:pPr>
        <w:pStyle w:val="ListBullet"/>
      </w:pPr>
      <w:r>
        <w:t>Artforum bids farewell to back-cover star in style</w:t>
      </w:r>
    </w:p>
    <w:p>
      <w:pPr>
        <w:pStyle w:val="ListBullet"/>
      </w:pPr>
      <w:r>
        <w:t>BAFTA Expands Outstanding British Film Longlist &amp; Adds AI Clause To Submission Rules</w:t>
      </w:r>
    </w:p>
    <w:p>
      <w:pPr>
        <w:pStyle w:val="ListBullet"/>
      </w:pPr>
      <w:r>
        <w:t>'The Odyssey' Proves It: Audiences Want Movies Made the Hard Way</w:t>
      </w:r>
    </w:p>
    <w:p>
      <w:pPr>
        <w:pStyle w:val="ListBullet"/>
      </w:pPr>
      <w:r>
        <w:t>Hyolyn channels Y2K nostalgia on 'OriginaLyn'</w:t>
      </w:r>
    </w:p>
    <w:p>
      <w:pPr>
        <w:pStyle w:val="ListBullet"/>
      </w:pPr>
      <w:r>
        <w:t>How Holt Crashed Mahmoud Khalil's Memoir in Six Months</w:t>
      </w:r>
    </w:p>
    <w:p>
      <w:pPr>
        <w:pStyle w:val="ListBullet"/>
      </w:pPr>
      <w:r>
        <w:t>New study reveals how Cypriot goldsmiths united four ancient cultures</w:t>
      </w:r>
    </w:p>
    <w:p>
      <w:pPr>
        <w:pStyle w:val="ListBullet"/>
      </w:pPr>
      <w:r>
        <w:t>SANAA-led team wins Ecuador national museum competition after revised selection process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President Trump has approved a 30-year civil nuclear cooperation agreement with Saudi Arabia that could, after a joint US-Saudi study, open a path to domestic uranium enrichment, with US firms developing the programme and the accord heading to Congress for review. Unlike the United Arab Emirates, which accepted the non-proliferation "gold standard" barring enrichment when it built Barakah, Riyadh has held out for enrichment rights, a distinction that will shape how the Kingdom's civil-nuclear ambitions are read internationally. The deal anchors a deepening US-Saudi economic relationship that sits alongside the Kingdom's wider Vision 2030 diversification effort. (</w:t>
      </w:r>
      <w:hyperlink r:id="rId9">
        <w:r>
          <w:rPr>
            <w:color w:val="0000FF"/>
            <w:u w:val="single"/>
            <w:rFonts w:ascii="Times New Roman" w:hAnsi="Times New Roman"/>
          </w:rPr>
          <w:t xml:space="preserve">AP via PBS NewsHour</w:t>
        </w:r>
      </w:hyperlink>
      <w:r>
        <w:rPr>
          <w:b w:val="0"/>
        </w:rPr>
        <w:t>)</w:t>
      </w:r>
    </w:p>
    <w:p>
      <w:pPr>
        <w:pStyle w:val="ListBullet"/>
      </w:pPr>
      <w:r>
        <w:rPr>
          <w:b w:val="0"/>
        </w:rPr>
        <w:t>The Iran-aligned Houthis said they had struck two Saudi oil tankers, the Encelia and the Layla, with missiles and drones in the Red Sea, the first such attack since the group declared a maritime blockade on the Kingdom earlier in the week, though Saudi authorities had not confirmed the hits. The escalation reopens a security front along a shipping and coastal-tourism corridor central to the Kingdom's Red Sea development plans, and is likely to weigh on regional risk perceptions the cultural and tourism sectors work to counter. (</w:t>
      </w:r>
      <w:hyperlink r:id="rId10">
        <w:r>
          <w:rPr>
            <w:color w:val="0000FF"/>
            <w:u w:val="single"/>
            <w:rFonts w:ascii="Times New Roman" w:hAnsi="Times New Roman"/>
          </w:rPr>
          <w:t xml:space="preserve">The New York Times</w:t>
        </w:r>
      </w:hyperlink>
      <w:r>
        <w:rPr>
          <w:b w:val="0"/>
        </w:rPr>
        <w:t>)</w:t>
      </w:r>
    </w:p>
    <w:p>
      <w:pPr>
        <w:pStyle w:val="ListBullet"/>
      </w:pPr>
      <w:r>
        <w:rPr>
          <w:b w:val="0"/>
        </w:rPr>
        <w:t>Analysts framed the US-Saudi nuclear agreement as a strategic and commercial prize that could channel billions of dollars in contracts to American firms while anchoring Riyadh more firmly in Washington's economic orbit, even as the enrichment provision draws scrutiny from lawmakers and non-proliferation experts. For the Ministry, the significance is less the reactors than the reinforcement of a non-oil economic-transformation narrative into which cultural investment is woven. (</w:t>
      </w:r>
      <w:hyperlink r:id="rId11">
        <w:r>
          <w:rPr>
            <w:color w:val="0000FF"/>
            <w:u w:val="single"/>
            <w:rFonts w:ascii="Times New Roman" w:hAnsi="Times New Roman"/>
          </w:rPr>
          <w:t xml:space="preserve">Al-Monitor</w:t>
        </w:r>
      </w:hyperlink>
      <w:r>
        <w:rPr>
          <w:b w:val="0"/>
        </w:rPr>
        <w:t>)</w:t>
      </w:r>
    </w:p>
    <w:p>
      <w:pPr>
        <w:pStyle w:val="NoSpacing"/>
      </w:pPr>
    </w:p>
    <w:p>
      <w:pPr>
        <w:pStyle w:val="NoSpacing"/>
      </w:pPr>
      <w:r>
        <w:rPr>
          <w:b/>
          <w:color w:val="EE0000"/>
        </w:rPr>
        <w:t>Negative Articles</w:t>
      </w:r>
    </w:p>
    <w:p>
      <w:pPr>
        <w:pStyle w:val="ListBullet"/>
      </w:pPr>
      <w:r>
        <w:rPr>
          <w:b w:val="0"/>
        </w:rPr>
        <w:t>Middle East Eye, whose funding is opaque and widely linked to Qatar, framed the civil-nuclear agreement as a reckless step, stressing that it omits enhanced International Atomic Energy Agency safeguards, that Riyadh has refused the "gold standard" pledge the UAE accepted, and that it could set off an arms race with Iran. The framing casts Saudi Arabia as a proliferation risk rather than an energy-diversifying partner, and revives older scrutiny of the deal's political backers. (</w:t>
      </w:r>
      <w:hyperlink r:id="rId12">
        <w:r>
          <w:rPr>
            <w:color w:val="0000FF"/>
            <w:u w:val="single"/>
            <w:rFonts w:ascii="Times New Roman" w:hAnsi="Times New Roman"/>
          </w:rPr>
          <w:t xml:space="preserve">Middle East Eye</w:t>
        </w:r>
      </w:hyperlink>
      <w:r>
        <w:rPr>
          <w:b w:val="0"/>
        </w:rPr>
        <w:t>)</w:t>
      </w:r>
    </w:p>
    <w:p>
      <w:pPr>
        <w:pStyle w:val="ListBullet"/>
      </w:pPr>
      <w:r>
        <w:rPr>
          <w:b w:val="0"/>
        </w:rPr>
        <w:t>Iran's state broadcaster Press TV amplified a Yemeni Armed Forces statement casting the tanker strikes as legitimate retaliation against "the Saudi enemy" for an "unjust and oppressive siege," language that presents the Kingdom as aggressor and occupier rather than the party whose vessels were attacked. As Iranian state media, its account should be read as reflecting Tehran's interests, but it illustrates the adversarial narrative the Kingdom faces around the Red Sea confrontation. (</w:t>
      </w:r>
      <w:hyperlink r:id="rId13">
        <w:r>
          <w:rPr>
            <w:color w:val="0000FF"/>
            <w:u w:val="single"/>
            <w:rFonts w:ascii="Times New Roman" w:hAnsi="Times New Roman"/>
          </w:rPr>
          <w:t xml:space="preserve">Press TV</w:t>
        </w:r>
      </w:hyperlink>
      <w:r>
        <w:rPr>
          <w:b w:val="0"/>
        </w:rPr>
        <w:t>)</w:t>
      </w:r>
    </w:p>
    <w:p>
      <w:pPr>
        <w:pStyle w:val="ListBullet"/>
      </w:pPr>
      <w:r>
        <w:rPr>
          <w:b w:val="0"/>
        </w:rPr>
        <w:t>A detailed AGBI investigation into NEOM's Sindalah island, drawing on more than a dozen insiders, described repeated redesigns, missed deadlines, spiralling costs and a luxury resort that was built and then effectively abandoned, with management now passing to Red Sea Global. The piece frames Sindalah as an early crack in the giga-project programme and keeps questions about the gap between ambition and delivery in international view at a moment when the Kingdom is emphasising credible execution. (</w:t>
      </w:r>
      <w:hyperlink r:id="rId14">
        <w:r>
          <w:rPr>
            <w:color w:val="0000FF"/>
            <w:u w:val="single"/>
            <w:rFonts w:ascii="Times New Roman" w:hAnsi="Times New Roman"/>
          </w:rPr>
          <w:t xml:space="preserve">AGBI</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Louvre reopened its Apollo Gallery some nine months after the October 2025 theft of eight French Crown Jewels, returning the room to its 17th-century ceremonial character without display cases, while the remaining jewels are moved to a new secure strongroom. The reopening shows how a major institution can convert a serious security failure into a considered curatorial reset, a reference point for museums balancing public access with collection protection. (</w:t>
      </w:r>
      <w:hyperlink r:id="rId15">
        <w:r>
          <w:rPr>
            <w:color w:val="0000FF"/>
            <w:u w:val="single"/>
            <w:rFonts w:ascii="Times New Roman" w:hAnsi="Times New Roman"/>
          </w:rPr>
          <w:t xml:space="preserve">ARTnews</w:t>
        </w:r>
      </w:hyperlink>
      <w:r>
        <w:rPr>
          <w:b w:val="0"/>
        </w:rPr>
        <w:t>)</w:t>
      </w:r>
    </w:p>
    <w:p>
      <w:pPr>
        <w:pStyle w:val="ListBullet"/>
      </w:pPr>
      <w:r>
        <w:rPr>
          <w:b w:val="0"/>
        </w:rPr>
        <w:t>Jessica Morgan, director of New York's Dia Art Foundation, was named the next director of Tate, succeeding Maria Balshaw from January 2027 across Tate Britain, Tate Modern, Liverpool and St Ives. The appointment to one of the sector's most senior roles signals continued transatlantic movement of museum leadership and the premium placed on curatorial track record in running large public institutions.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The European Commission formally withdrew a €2m grant to the Venice Biennale over Russia's participation, with a spokesman saying taxpayer-funded cultural events should safeguard democratic values. The decision underlines how sharply cultural funding is now entangled with foreign policy, a dynamic relevant to any state investing in international biennale participation and cultural diplomacy. (</w:t>
      </w:r>
      <w:hyperlink r:id="rId17">
        <w:r>
          <w:rPr>
            <w:color w:val="0000FF"/>
            <w:u w:val="single"/>
            <w:rFonts w:ascii="Times New Roman" w:hAnsi="Times New Roman"/>
          </w:rPr>
          <w:t xml:space="preserve">The Art Newspaper</w:t>
        </w:r>
      </w:hyperlink>
      <w:r>
        <w:rPr>
          <w:b w:val="0"/>
        </w:rPr>
        <w:t>)</w:t>
      </w:r>
    </w:p>
    <w:p>
      <w:pPr>
        <w:pStyle w:val="ListBullet"/>
      </w:pPr>
      <w:r>
        <w:rPr>
          <w:b w:val="0"/>
        </w:rPr>
        <w:t>Artforum marked the end of a back-cover tradition held since 1986 by the Swiss gallerist Bruno Bischofberger, who died in May aged 86, replacing his familiar advertisement with an Andy Warhol portrait and an "In Memoriam" line. Bischofberger, who introduced Warhol and Jean-Michel Basquiat to European audiences, is a reminder of the long-term relationship-building between dealers, artists and institutions that underpins durable art scenes. (</w:t>
      </w:r>
      <w:hyperlink r:id="rId18">
        <w:r>
          <w:rPr>
            <w:color w:val="0000FF"/>
            <w:u w:val="single"/>
            <w:rFonts w:ascii="Times New Roman" w:hAnsi="Times New Roman"/>
          </w:rPr>
          <w:t xml:space="preserve">The Art Newspaper</w:t>
        </w:r>
      </w:hyperlink>
      <w:r>
        <w:rPr>
          <w:b w:val="0"/>
        </w:rPr>
        <w:t>)</w:t>
      </w:r>
    </w:p>
    <w:p>
      <w:pPr>
        <w:pStyle w:val="NoSpacing"/>
      </w:pPr>
      <w:r>
        <w:rPr>
          <w:b/>
          <w:color w:val="000000"/>
        </w:rPr>
        <w:t>Film:</w:t>
      </w:r>
    </w:p>
    <w:p>
      <w:pPr>
        <w:pStyle w:val="ListBullet"/>
      </w:pPr>
      <w:r>
        <w:rPr>
          <w:b w:val="0"/>
        </w:rPr>
        <w:t>BAFTA expanded its Outstanding British Film longlist from 15 to 20 titles and introduced a generative-AI clause allowing it to request detail on the extent of human creative involvement in submitted films, reaffirming that its awards recognise human creative achievement. The move sets an influential precedent for how film bodies reconcile AI tools with authorship, a question every national film sector building incentive schemes will need to address. (</w:t>
      </w:r>
      <w:hyperlink r:id="rId19">
        <w:r>
          <w:rPr>
            <w:color w:val="0000FF"/>
            <w:u w:val="single"/>
            <w:rFonts w:ascii="Times New Roman" w:hAnsi="Times New Roman"/>
          </w:rPr>
          <w:t xml:space="preserve">Deadline</w:t>
        </w:r>
      </w:hyperlink>
      <w:r>
        <w:rPr>
          <w:b w:val="0"/>
        </w:rPr>
        <w:t>)</w:t>
      </w:r>
    </w:p>
    <w:p>
      <w:pPr>
        <w:pStyle w:val="ListBullet"/>
      </w:pPr>
      <w:r>
        <w:rPr>
          <w:b w:val="0"/>
        </w:rPr>
        <w:t>The Hollywood Reporter argued that 2026's breakout films, including Christopher Nolan's The Odyssey and Project Hail Mary, are being rewarded for visibly hand-crafted, practical filmmaking while heavily computer-generated franchise titles have underperformed, describing an emerging "authenticity era". The trend favours craft, human talent and production skill, an emphasis that aligns with efforts to build genuine filmmaking capacity rather than only offering locations and rebates. (</w:t>
      </w:r>
      <w:hyperlink r:id="rId20">
        <w:r>
          <w:rPr>
            <w:color w:val="0000FF"/>
            <w:u w:val="single"/>
            <w:rFonts w:ascii="Times New Roman" w:hAnsi="Times New Roman"/>
          </w:rPr>
          <w:t xml:space="preserve">The Hollywood Reporter</w:t>
        </w:r>
      </w:hyperlink>
      <w:r>
        <w:rPr>
          <w:b w:val="0"/>
        </w:rPr>
        <w:t>)</w:t>
      </w:r>
    </w:p>
    <w:p>
      <w:pPr>
        <w:pStyle w:val="NoSpacing"/>
      </w:pPr>
      <w:r>
        <w:rPr>
          <w:b/>
          <w:color w:val="000000"/>
        </w:rPr>
        <w:t>Music:</w:t>
      </w:r>
    </w:p>
    <w:p>
      <w:pPr>
        <w:pStyle w:val="ListBullet"/>
      </w:pPr>
      <w:r>
        <w:rPr>
          <w:b w:val="0"/>
        </w:rPr>
        <w:t>The Korean singer Hyolyn, formerly of Sistar, released her fourth EP OriginaLyn, led by the single ChecK and her first physical release in four years, leaning into early-2000s pop and R&amp;B nostalgia. Her return underlines how established artists sustain relevance by mining catalogue identity, a model of long-arc talent development that maturing music sectors watch closely. (</w:t>
      </w:r>
      <w:hyperlink r:id="rId21">
        <w:r>
          <w:rPr>
            <w:color w:val="0000FF"/>
            <w:u w:val="single"/>
            <w:rFonts w:ascii="Times New Roman" w:hAnsi="Times New Roman"/>
          </w:rPr>
          <w:t xml:space="preserve">The Korea Herald</w:t>
        </w:r>
      </w:hyperlink>
      <w:r>
        <w:rPr>
          <w:b w:val="0"/>
        </w:rPr>
        <w:t>)</w:t>
      </w:r>
    </w:p>
    <w:p>
      <w:pPr>
        <w:pStyle w:val="NoSpacing"/>
      </w:pPr>
      <w:r>
        <w:rPr>
          <w:b/>
          <w:color w:val="000000"/>
        </w:rPr>
        <w:t>Literature, Publishing, and Translation:</w:t>
      </w:r>
    </w:p>
    <w:p>
      <w:pPr>
        <w:pStyle w:val="ListBullet"/>
      </w:pPr>
      <w:r>
        <w:rPr>
          <w:b w:val="0"/>
        </w:rPr>
        <w:t>Publishers Weekly detailed how Henry Holt's Metropolitan Books imprint fast-tracked the memoir of the Palestinian activist Mahmoud Khalil, No Land to Stand On, to publication in roughly six months, well ahead of the industry's usual pace. The account shows how publishers compress timelines around politically urgent stories, a reminder of the speed and sensitivity that topical non-fiction now demands of the sector. (</w:t>
      </w:r>
      <w:hyperlink r:id="rId22">
        <w:r>
          <w:rPr>
            <w:color w:val="0000FF"/>
            <w:u w:val="single"/>
            <w:rFonts w:ascii="Times New Roman" w:hAnsi="Times New Roman"/>
          </w:rPr>
          <w:t xml:space="preserve">Publishers Weekly</w:t>
        </w:r>
      </w:hyperlink>
      <w:r>
        <w:rPr>
          <w:b w:val="0"/>
        </w:rPr>
        <w:t>)</w:t>
      </w:r>
    </w:p>
    <w:p>
      <w:pPr>
        <w:pStyle w:val="NoSpacing"/>
      </w:pPr>
      <w:r>
        <w:rPr>
          <w:b/>
          <w:color w:val="000000"/>
        </w:rPr>
        <w:t>Heritage:</w:t>
      </w:r>
    </w:p>
    <w:p>
      <w:pPr>
        <w:pStyle w:val="ListBullet"/>
      </w:pPr>
      <w:r>
        <w:rPr>
          <w:b w:val="0"/>
        </w:rPr>
        <w:t>A new study in the Oxford Journal of Archaeology of nine gold diadems and two mouthpieces from the Late Bronze Age cemetery at Hala Sultan Tekke in Cyprus found that local goldsmiths blended Egyptian, Minoan, Mycenaean and Near Eastern motifs into distinctively Cypriot ornaments some 3,400 years old. The findings are a vivid illustration of how ancient craft economies absorbed and recombined cross-cultural influences, the kind of connective heritage narrative the region's own archaeology increasingly supports. (</w:t>
      </w:r>
      <w:hyperlink r:id="rId23">
        <w:r>
          <w:rPr>
            <w:color w:val="0000FF"/>
            <w:u w:val="single"/>
            <w:rFonts w:ascii="Times New Roman" w:hAnsi="Times New Roman"/>
          </w:rPr>
          <w:t xml:space="preserve">HeritageDaily</w:t>
        </w:r>
      </w:hyperlink>
      <w:r>
        <w:rPr>
          <w:b w:val="0"/>
        </w:rPr>
        <w:t>)</w:t>
      </w:r>
    </w:p>
    <w:p>
      <w:pPr>
        <w:pStyle w:val="NoSpacing"/>
      </w:pPr>
      <w:r>
        <w:rPr>
          <w:b/>
          <w:color w:val="000000"/>
        </w:rPr>
        <w:t>Architecture and Design:</w:t>
      </w:r>
    </w:p>
    <w:p>
      <w:pPr>
        <w:pStyle w:val="ListBullet"/>
      </w:pPr>
      <w:r>
        <w:rPr>
          <w:b w:val="0"/>
        </w:rPr>
        <w:t>A team led by the Japanese practice SANAA won the competition to design Ecuador's national museum, MUNA, following a revised selection process, with a scheme of stacked circular volumes and planted terraces developed alongside Indigenous, Afro-Ecuadorian and mestizo advisers. The winning approach treats a national museum as a layered public landscape rather than a single monumental statement, an idea resonant for any country using cultural architecture to tell a plural national story. (</w:t>
      </w:r>
      <w:hyperlink r:id="rId24">
        <w:r>
          <w:rPr>
            <w:color w:val="0000FF"/>
            <w:u w:val="single"/>
            <w:rFonts w:ascii="Times New Roman" w:hAnsi="Times New Roman"/>
          </w:rPr>
          <w:t xml:space="preserve">Designboom</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escalation reopens a regional-security front around the Kingdom</w:t>
      </w:r>
    </w:p>
    <w:p>
      <w:pPr>
        <w:pStyle w:val="NoSpacing"/>
      </w:pPr>
      <w:r>
        <w:t>The declared Houthi maritime blockade and the claimed strikes on two Saudi tankers move the confrontation directly onto Saudi shipping and coastline, precisely the corridor underpinning Red Sea tourism and cultural-destination plans. Sustained coverage of missiles and burning tankers risks depressing international visitor confidence and colouring perceptions of the Kingdom as a cultural-travel destination.</w:t>
      </w:r>
    </w:p>
    <w:p>
      <w:pPr>
        <w:pStyle w:val="NoSpacing"/>
      </w:pPr>
      <w:r>
        <w:rPr>
          <w:b/>
        </w:rPr>
        <w:t xml:space="preserve">Source: </w:t>
      </w:r>
      <w:hyperlink r:id="rId10">
        <w:r>
          <w:rPr>
            <w:color w:val="0000FF"/>
            <w:u w:val="single"/>
            <w:rFonts w:ascii="Times New Roman" w:hAnsi="Times New Roman"/>
          </w:rPr>
          <w:t xml:space="preserve">The New York Times</w:t>
        </w:r>
      </w:hyperlink>
      <w:r>
        <w:rPr>
          <w:b w:val="0"/>
        </w:rPr>
        <w:t xml:space="preserve">, </w:t>
      </w:r>
      <w:hyperlink r:id="rId13">
        <w:r>
          <w:rPr>
            <w:color w:val="0000FF"/>
            <w:u w:val="single"/>
            <w:rFonts w:ascii="Times New Roman" w:hAnsi="Times New Roman"/>
          </w:rPr>
          <w:t xml:space="preserve">Press TV</w:t>
        </w:r>
      </w:hyperlink>
    </w:p>
    <w:p>
      <w:pPr>
        <w:pStyle w:val="NoSpacing"/>
      </w:pPr>
      <w:r>
        <w:rPr>
          <w:b/>
        </w:rPr>
        <w:t xml:space="preserve">Consideration: </w:t>
      </w:r>
      <w:r>
        <w:t>Keep the Ministry's cultural and heritage-tourism messaging clearly distinct from the security narrative, foregrounding safe, well-managed public access, Saudi talent and heritage stewardship rather than engaging the conflict framing directly.</w:t>
      </w:r>
    </w:p>
    <w:p>
      <w:pPr>
        <w:pStyle w:val="NoSpacing"/>
      </w:pPr>
    </w:p>
    <w:p>
      <w:pPr>
        <w:pStyle w:val="NoSpacing"/>
      </w:pPr>
      <w:r>
        <w:rPr>
          <w:b/>
          <w:color w:val="000000"/>
        </w:rPr>
        <w:t>2. Giga-project delivery scrutiny bleeds into the wider transformation story</w:t>
      </w:r>
    </w:p>
    <w:p>
      <w:pPr>
        <w:pStyle w:val="NoSpacing"/>
      </w:pPr>
      <w:r>
        <w:t>The AGBI investigation into Sindalah revives the "gap between ambition and delivery" narrative around the giga-projects, a framing that can attach itself to cultural infrastructure and mega-events by association even where those are progressing on their own terms.</w:t>
      </w:r>
    </w:p>
    <w:p>
      <w:pPr>
        <w:pStyle w:val="NoSpacing"/>
      </w:pPr>
      <w:r>
        <w:rPr>
          <w:b/>
        </w:rPr>
        <w:t xml:space="preserve">Source: </w:t>
      </w:r>
      <w:hyperlink r:id="rId14">
        <w:r>
          <w:rPr>
            <w:color w:val="0000FF"/>
            <w:u w:val="single"/>
            <w:rFonts w:ascii="Times New Roman" w:hAnsi="Times New Roman"/>
          </w:rPr>
          <w:t xml:space="preserve">AGBI</w:t>
        </w:r>
      </w:hyperlink>
    </w:p>
    <w:p>
      <w:pPr>
        <w:pStyle w:val="NoSpacing"/>
      </w:pPr>
      <w:r>
        <w:rPr>
          <w:b/>
        </w:rPr>
        <w:t xml:space="preserve">Consideration: </w:t>
      </w:r>
      <w:r>
        <w:t>Anchor cultural-sector communications in concrete, verifiable delivery, completed openings, visitor figures, programming actually running, so the cultural narrative is evidenced by execution rather than rendered vulnerable to project-delay stories elsewhere.</w:t>
      </w:r>
    </w:p>
    <w:p>
      <w:pPr>
        <w:pStyle w:val="NoSpacing"/>
      </w:pPr>
    </w:p>
    <w:p>
      <w:pPr>
        <w:pStyle w:val="NoSpacing"/>
      </w:pPr>
      <w:r>
        <w:rPr>
          <w:b/>
          <w:color w:val="A66500"/>
        </w:rPr>
        <w:t>Opportunities</w:t>
      </w:r>
    </w:p>
    <w:p>
      <w:pPr>
        <w:pStyle w:val="NoSpacing"/>
      </w:pPr>
      <w:r>
        <w:rPr>
          <w:b/>
          <w:color w:val="000000"/>
        </w:rPr>
        <w:t>1. Economic-diversification momentum reinforces the case for cultural investment</w:t>
      </w:r>
    </w:p>
    <w:p>
      <w:pPr>
        <w:pStyle w:val="NoSpacing"/>
      </w:pPr>
      <w:r>
        <w:t>The US-Saudi civil-nuclear and commercial agreement strengthens the broader non-oil, Vision 2030 diversification story, of which the cultural sector is a visible part; analysts read the deal primarily as a strategic and economic anchoring of the Kingdom in international partnerships.</w:t>
      </w:r>
    </w:p>
    <w:p>
      <w:pPr>
        <w:pStyle w:val="NoSpacing"/>
      </w:pPr>
      <w:r>
        <w:rPr>
          <w:b/>
        </w:rPr>
        <w:t xml:space="preserve">Source: </w:t>
      </w:r>
      <w:hyperlink r:id="rId9">
        <w:r>
          <w:rPr>
            <w:color w:val="0000FF"/>
            <w:u w:val="single"/>
            <w:rFonts w:ascii="Times New Roman" w:hAnsi="Times New Roman"/>
          </w:rPr>
          <w:t xml:space="preserve">AP via PBS NewsHour</w:t>
        </w:r>
      </w:hyperlink>
      <w:r>
        <w:rPr>
          <w:b w:val="0"/>
        </w:rPr>
        <w:t xml:space="preserve">, </w:t>
      </w:r>
      <w:hyperlink r:id="rId11">
        <w:r>
          <w:rPr>
            <w:color w:val="0000FF"/>
            <w:u w:val="single"/>
            <w:rFonts w:ascii="Times New Roman" w:hAnsi="Times New Roman"/>
          </w:rPr>
          <w:t xml:space="preserve">Al-Monitor</w:t>
        </w:r>
      </w:hyperlink>
    </w:p>
    <w:p>
      <w:pPr>
        <w:pStyle w:val="NoSpacing"/>
      </w:pPr>
      <w:r>
        <w:rPr>
          <w:b/>
        </w:rPr>
        <w:t xml:space="preserve">Consideration: </w:t>
      </w:r>
      <w:r>
        <w:t>The Ministry can present cultural investment as part of the same diversification and international-partnership narrative, connecting individual programmes to the Kingdom's wider economic-transformation story rather than treating them as isolated announcements.</w:t>
      </w:r>
    </w:p>
    <w:p>
      <w:pPr>
        <w:pStyle w:val="NoSpacing"/>
      </w:pPr>
    </w:p>
    <w:p>
      <w:pPr>
        <w:pStyle w:val="NoSpacing"/>
      </w:pPr>
      <w:r>
        <w:rPr>
          <w:b/>
          <w:color w:val="000000"/>
        </w:rPr>
        <w:t>2. A global turn toward human creative craft plays to Saudi film-sector strengths</w:t>
      </w:r>
    </w:p>
    <w:p>
      <w:pPr>
        <w:pStyle w:val="NoSpacing"/>
      </w:pPr>
      <w:r>
        <w:t>BAFTA's new human-involvement disclosure rule and The Hollywood Reporter's "authenticity era" thesis point to an international premium on visibly human-made filmmaking and genuine production skill over generic, AI-heavy output.</w:t>
      </w:r>
    </w:p>
    <w:p>
      <w:pPr>
        <w:pStyle w:val="NoSpacing"/>
      </w:pPr>
      <w:r>
        <w:rPr>
          <w:b/>
        </w:rPr>
        <w:t xml:space="preserve">Source: </w:t>
      </w:r>
      <w:hyperlink r:id="rId19">
        <w:r>
          <w:rPr>
            <w:color w:val="0000FF"/>
            <w:u w:val="single"/>
            <w:rFonts w:ascii="Times New Roman" w:hAnsi="Times New Roman"/>
          </w:rPr>
          <w:t xml:space="preserve">Deadline</w:t>
        </w:r>
      </w:hyperlink>
      <w:r>
        <w:rPr>
          <w:b w:val="0"/>
        </w:rPr>
        <w:t xml:space="preserve">, </w:t>
      </w:r>
      <w:hyperlink r:id="rId20">
        <w:r>
          <w:rPr>
            <w:color w:val="0000FF"/>
            <w:u w:val="single"/>
            <w:rFonts w:ascii="Times New Roman" w:hAnsi="Times New Roman"/>
          </w:rPr>
          <w:t xml:space="preserve">The Hollywood Reporter</w:t>
        </w:r>
      </w:hyperlink>
    </w:p>
    <w:p>
      <w:pPr>
        <w:pStyle w:val="NoSpacing"/>
      </w:pPr>
      <w:r>
        <w:rPr>
          <w:b/>
        </w:rPr>
        <w:t xml:space="preserve">Consideration: </w:t>
      </w:r>
      <w:r>
        <w:t>The Film Commission can position Saudi incentives and production hubs around the development of human creative talent, craft skills and training, differentiating the offer from a pure location-and-rebate proposition as global taste shifts toward authorship.</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bs.org/newshour/world/ap-report-trump-approves-nuclear-agreement-that-may-allow-saudi-arabia-to-enrich-uranium" TargetMode="External"/><Relationship Id="rId10" Type="http://schemas.openxmlformats.org/officeDocument/2006/relationships/hyperlink" Target="https://www.nytimes.com/2026/07/22/world/middleeast/houthis-saudi-oil-tankers-red-sea.html" TargetMode="External"/><Relationship Id="rId11" Type="http://schemas.openxmlformats.org/officeDocument/2006/relationships/hyperlink" Target="https://www.al-monitor.com/originals/2026/07/saudi-nuclear-deal-delivers-strategic-economic-prizes-trump-boosts-gulf-allies" TargetMode="External"/><Relationship Id="rId12" Type="http://schemas.openxmlformats.org/officeDocument/2006/relationships/hyperlink" Target="https://www.middleeasteye.net/news/trump-to-approve-nuclear-deal-saudi-arabia-despite-regional-proliferation-risks" TargetMode="External"/><Relationship Id="rId13" Type="http://schemas.openxmlformats.org/officeDocument/2006/relationships/hyperlink" Target="https://www.presstv.co.uk/Detail/2026/07/22/772814/Yemen-Saudi-Arabia-ships-blockade-warning" TargetMode="External"/><Relationship Id="rId14" Type="http://schemas.openxmlformats.org/officeDocument/2006/relationships/hyperlink" Target="https://www.agbi.com/giga-projects/2026/07/deserted-island-what-happened-at-neom-sindalah-and-whats-next/" TargetMode="External"/><Relationship Id="rId15" Type="http://schemas.openxmlformats.org/officeDocument/2006/relationships/hyperlink" Target="https://www.artnews.com/art-news/news/louvre-apollo-gallery-reopens-without-crown-jewels-1234793182/" TargetMode="External"/><Relationship Id="rId16" Type="http://schemas.openxmlformats.org/officeDocument/2006/relationships/hyperlink" Target="https://www.theartnewspaper.com/2026/07/22/jessica-morgan-named-new-tate-director" TargetMode="External"/><Relationship Id="rId17" Type="http://schemas.openxmlformats.org/officeDocument/2006/relationships/hyperlink" Target="https://www.theartnewspaper.com/2026/07/22/european-union-officially-pull-2m-venice-biennale-funding-over-russian-participation" TargetMode="External"/><Relationship Id="rId18" Type="http://schemas.openxmlformats.org/officeDocument/2006/relationships/hyperlink" Target="https://www.theartnewspaper.com/2026/07/22/artforum-bids-farewell-to-back-cover-star-in-style" TargetMode="External"/><Relationship Id="rId19" Type="http://schemas.openxmlformats.org/officeDocument/2006/relationships/hyperlink" Target="https://deadline.com/2026/07/bafta-ai-clause-submission-rules-2027-1237000067/" TargetMode="External"/><Relationship Id="rId20" Type="http://schemas.openxmlformats.org/officeDocument/2006/relationships/hyperlink" Target="https://www.hollywoodreporter.com/movies/movie-news/odyssey-box-office-2026-practical-effects-1236652219/" TargetMode="External"/><Relationship Id="rId21" Type="http://schemas.openxmlformats.org/officeDocument/2006/relationships/hyperlink" Target="https://www.koreaherald.com/article/10815414" TargetMode="External"/><Relationship Id="rId22" Type="http://schemas.openxmlformats.org/officeDocument/2006/relationships/hyperlink" Target="https://www.publishersweekly.com/pw/by-topic/industry-news/publisher-news/article/100890-how-holt-finished-mahmoud-khalil-s-no-land-to-stand-on-in-just-six-months.html" TargetMode="External"/><Relationship Id="rId23" Type="http://schemas.openxmlformats.org/officeDocument/2006/relationships/hyperlink" Target="https://www.heritagedaily.com/2026/07/new-study-reveals-how-cypriot-goldsmiths-united-four-ancient-cultures/158659" TargetMode="External"/><Relationship Id="rId24" Type="http://schemas.openxmlformats.org/officeDocument/2006/relationships/hyperlink" Target="https://www.designboom.com/architecture/sanaa-team-ecuador-national-museum-muna-competition-revised-selection-process-estudioa0-caaporarq-jeromehaferd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