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14 August 2026</w:t>
      </w:r>
    </w:p>
    <w:p>
      <w:pPr>
        <w:pStyle w:val="NoSpacing"/>
      </w:pPr>
    </w:p>
    <w:p>
      <w:pPr>
        <w:pStyle w:val="NoSpacing"/>
      </w:pPr>
      <w:r>
        <w:rPr>
          <w:b/>
          <w:color w:val="4A86E8"/>
        </w:rPr>
        <w:t>Saudi Arabia/Regional</w:t>
      </w:r>
    </w:p>
    <w:p>
      <w:pPr>
        <w:pStyle w:val="ListBullet"/>
      </w:pPr>
      <w:r>
        <w:t>Saudi defence minister calls Iraq 'cherished neighbour' after strikes</w:t>
      </w:r>
    </w:p>
    <w:p>
      <w:pPr>
        <w:pStyle w:val="ListBullet"/>
      </w:pPr>
      <w:r>
        <w:t>Turkey, Saudi Arabia and Pakistan to establish political and military mechanisms under defence pact</w:t>
      </w:r>
    </w:p>
    <w:p>
      <w:pPr>
        <w:pStyle w:val="ListBullet"/>
      </w:pPr>
      <w:r>
        <w:t>PIF's new strategy focuses on returns and attracting investment</w:t>
      </w:r>
    </w:p>
    <w:p>
      <w:pPr>
        <w:pStyle w:val="NoSpacing"/>
      </w:pPr>
    </w:p>
    <w:p>
      <w:pPr>
        <w:pStyle w:val="NoSpacing"/>
      </w:pPr>
      <w:r>
        <w:rPr>
          <w:b/>
          <w:color w:val="EE0000"/>
        </w:rPr>
        <w:t>Negative Articles</w:t>
      </w:r>
    </w:p>
    <w:p>
      <w:pPr>
        <w:pStyle w:val="NoSpacing"/>
      </w:pPr>
    </w:p>
    <w:p>
      <w:pPr>
        <w:pStyle w:val="NoSpacing"/>
      </w:pPr>
      <w:r>
        <w:rPr>
          <w:b/>
          <w:color w:val="4A86E8"/>
        </w:rPr>
        <w:t>Global</w:t>
      </w:r>
    </w:p>
    <w:p>
      <w:pPr>
        <w:pStyle w:val="ListBullet"/>
      </w:pPr>
      <w:r>
        <w:t>Fourth-Century B.C. Graves Found at Hattusha</w:t>
      </w:r>
    </w:p>
    <w:p>
      <w:pPr>
        <w:pStyle w:val="ListBullet"/>
      </w:pPr>
      <w:r>
        <w:t>Homo antecessor Skull Fragments Examined</w:t>
      </w:r>
    </w:p>
    <w:p>
      <w:pPr>
        <w:pStyle w:val="ListBullet"/>
      </w:pPr>
      <w:r>
        <w:t>NY Film Festival Sets Currents Lineup Led by 'Bardi' World Premiere</w:t>
      </w:r>
    </w:p>
    <w:p>
      <w:pPr>
        <w:pStyle w:val="ListBullet"/>
      </w:pPr>
      <w:r>
        <w:t>'Spider-Man: Brand New Day' Fastest To $700 Million At U.S. Box Office</w:t>
      </w:r>
    </w:p>
    <w:p>
      <w:pPr>
        <w:pStyle w:val="ListBullet"/>
      </w:pPr>
      <w:r>
        <w:t>The War Over Warner Bros. Is Splintering Hollywood's Labor World</w:t>
      </w:r>
    </w:p>
    <w:p>
      <w:pPr>
        <w:pStyle w:val="ListBullet"/>
      </w:pPr>
      <w:r>
        <w:t>Jemima Kirke, Rowan Blanchard Front Marc Jacobs Fall 2026 Campaign</w:t>
      </w:r>
    </w:p>
    <w:p>
      <w:pPr>
        <w:pStyle w:val="NoSpacing"/>
      </w:pPr>
    </w:p>
    <w:p>
      <w:r>
        <w:br w:type="page"/>
      </w:r>
    </w:p>
    <w:p>
      <w:pPr>
        <w:pStyle w:val="NoSpacing"/>
      </w:pPr>
      <w:r>
        <w:rPr>
          <w:b/>
          <w:color w:val="4A86E8"/>
        </w:rPr>
        <w:t>Saudi Arabia/Regional</w:t>
      </w:r>
    </w:p>
    <w:p>
      <w:pPr>
        <w:pStyle w:val="NoSpacing"/>
      </w:pPr>
      <w:r>
        <w:rPr>
          <w:b/>
          <w:color w:val="000000"/>
        </w:rPr>
        <w:t>General:</w:t>
      </w:r>
    </w:p>
    <w:p>
      <w:pPr>
        <w:pStyle w:val="ListBullet"/>
      </w:pPr>
      <w:r>
        <w:rPr>
          <w:b w:val="0"/>
        </w:rPr>
        <w:t>Saudi Arabia's Defence Minister, Prince Khalid bin Salman, told the visiting director of Iraq's Commander-in-Chief's office that Iraq "will remain a cherished neighbour", in the first announced high-level Iraqi security visit to Riyadh since cross-border drone strikes on Saudi oil facilities late last month. The conciliatory tone signals Riyadh's preference for de-escalation and bilateral security coordination over confrontation, reinforcing the Kingdom's positioning as a regional stabiliser — the same convening posture the Ministry projects through cultural diplomacy. (</w:t>
      </w:r>
      <w:hyperlink r:id="rId9">
        <w:r>
          <w:rPr>
            <w:color w:val="0000FF"/>
            <w:u w:val="single"/>
            <w:rFonts w:ascii="Times New Roman" w:hAnsi="Times New Roman"/>
          </w:rPr>
          <w:t xml:space="preserve">Gulf News</w:t>
        </w:r>
      </w:hyperlink>
      <w:r>
        <w:rPr>
          <w:b w:val="0"/>
        </w:rPr>
        <w:t>)</w:t>
      </w:r>
    </w:p>
    <w:p>
      <w:pPr>
        <w:pStyle w:val="ListBullet"/>
      </w:pPr>
      <w:r>
        <w:rPr>
          <w:b w:val="0"/>
        </w:rPr>
        <w:t>Turkey's defence ministry confirmed that Saudi Arabia, Turkey and Pakistan will establish joint political and military coordination mechanisms under the Makkah Joint Defence Agreement signed on 7 August, with plans for joint exercises prioritising unmanned systems, electronic warfare and artificial intelligence. Placing Saudi Arabia at the centre of an emerging trilateral security bloc raises the Kingdom's geopolitical profile, elevating the stakes — and the visibility — of its parallel leadership in cultural convening and soft power. (</w:t>
      </w:r>
      <w:hyperlink r:id="rId10">
        <w:r>
          <w:rPr>
            <w:color w:val="0000FF"/>
            <w:u w:val="single"/>
            <w:rFonts w:ascii="Times New Roman" w:hAnsi="Times New Roman"/>
          </w:rPr>
          <w:t xml:space="preserve">The National</w:t>
        </w:r>
      </w:hyperlink>
      <w:r>
        <w:rPr>
          <w:b w:val="0"/>
        </w:rPr>
        <w:t>)</w:t>
      </w:r>
    </w:p>
    <w:p>
      <w:pPr>
        <w:pStyle w:val="ListBullet"/>
      </w:pPr>
      <w:r>
        <w:rPr>
          <w:b w:val="0"/>
        </w:rPr>
        <w:t>Saudi Arabia's Public Investment Fund unveiled a 2026-2030 strategy that shifts emphasis towards financial returns, private-sector partnerships and divestment, de-prioritising some flagship giga-projects in favour of ports, manufacturing, green hydrogen and artificial intelligence. As the principal financier of Vision 2030's cultural and creative-sector ambitions, the fund's pivot towards returns discipline signals that future cultural investment will increasingly need to be justified in measurable economic terms. (</w:t>
      </w:r>
      <w:hyperlink r:id="rId11">
        <w:r>
          <w:rPr>
            <w:color w:val="0000FF"/>
            <w:u w:val="single"/>
            <w:rFonts w:ascii="Times New Roman" w:hAnsi="Times New Roman"/>
          </w:rPr>
          <w:t xml:space="preserve">AGBI</w:t>
        </w:r>
      </w:hyperlink>
      <w:r>
        <w:rPr>
          <w:b w:val="0"/>
        </w:rPr>
        <w:t>)</w:t>
      </w:r>
    </w:p>
    <w:p>
      <w:pPr>
        <w:pStyle w:val="NoSpacing"/>
      </w:pPr>
    </w:p>
    <w:p>
      <w:pPr>
        <w:pStyle w:val="NoSpacing"/>
      </w:pPr>
      <w:r>
        <w:rPr>
          <w:b/>
          <w:color w:val="EE0000"/>
        </w:rPr>
        <w:t>Negative Articles</w:t>
      </w:r>
    </w:p>
    <w:p>
      <w:pPr>
        <w:pStyle w:val="NoSpacing"/>
      </w:pPr>
    </w:p>
    <w:p>
      <w:pPr>
        <w:pStyle w:val="NoSpacing"/>
      </w:pPr>
      <w:r>
        <w:rPr>
          <w:b/>
          <w:color w:val="4A86E8"/>
        </w:rPr>
        <w:t>Global</w:t>
      </w:r>
    </w:p>
    <w:p>
      <w:pPr>
        <w:pStyle w:val="NoSpacing"/>
      </w:pPr>
      <w:r>
        <w:rPr>
          <w:b/>
          <w:color w:val="000000"/>
        </w:rPr>
        <w:t>Heritage:</w:t>
      </w:r>
    </w:p>
    <w:p>
      <w:pPr>
        <w:pStyle w:val="ListBullet"/>
      </w:pPr>
      <w:r>
        <w:rPr>
          <w:b w:val="0"/>
        </w:rPr>
        <w:t>Archaeologists have uncovered three graves dating to roughly the fourth century BC at Hattusha, the former Hittite capital in central Turkey, including an intact stone-lined tomb marked by a large circular stone structure. Continued high-profile fieldwork at a UNESCO-listed site underlines how active archaeological discovery sustains cultural-tourism and soft-power narratives — the same dynamic Saudi heritage programmes at AlUla and Diriyah are working to build. (</w:t>
      </w:r>
      <w:hyperlink r:id="rId12">
        <w:r>
          <w:rPr>
            <w:color w:val="0000FF"/>
            <w:u w:val="single"/>
            <w:rFonts w:ascii="Times New Roman" w:hAnsi="Times New Roman"/>
          </w:rPr>
          <w:t xml:space="preserve">Archaeology Magazine</w:t>
        </w:r>
      </w:hyperlink>
      <w:r>
        <w:rPr>
          <w:b w:val="0"/>
        </w:rPr>
        <w:t>)</w:t>
      </w:r>
    </w:p>
    <w:p>
      <w:pPr>
        <w:pStyle w:val="ListBullet"/>
      </w:pPr>
      <w:r>
        <w:rPr>
          <w:b w:val="0"/>
        </w:rPr>
        <w:t>A new micro-computed-tomography study of Homo antecessor skull fragments from Spain's Gran Dolina cave found the cranial bone markedly thinner than in Neanderthals or modern humans, refining understanding of an early human ancestor. The work illustrates how advanced imaging is reshaping heritage and human-origins science, a research frontier relevant to Saudi ambitions to position the Kingdom as a hub for prehistoric and archaeological study. (</w:t>
      </w:r>
      <w:hyperlink r:id="rId13">
        <w:r>
          <w:rPr>
            <w:color w:val="0000FF"/>
            <w:u w:val="single"/>
            <w:rFonts w:ascii="Times New Roman" w:hAnsi="Times New Roman"/>
          </w:rPr>
          <w:t xml:space="preserve">Archaeology Magazine</w:t>
        </w:r>
      </w:hyperlink>
      <w:r>
        <w:rPr>
          <w:b w:val="0"/>
        </w:rPr>
        <w:t>)</w:t>
      </w:r>
    </w:p>
    <w:p>
      <w:pPr>
        <w:pStyle w:val="NoSpacing"/>
      </w:pPr>
      <w:r>
        <w:rPr>
          <w:b/>
          <w:color w:val="000000"/>
        </w:rPr>
        <w:t>Film:</w:t>
      </w:r>
    </w:p>
    <w:p>
      <w:pPr>
        <w:pStyle w:val="ListBullet"/>
      </w:pPr>
      <w:r>
        <w:rPr>
          <w:b w:val="0"/>
        </w:rPr>
        <w:t>The New York Film Festival has revealed the line-up for Currents, its experimental section, for the 64th edition, led by the world premiere of Tala Hadid's "Bardi" alongside work from established auteurs. Prestige festival programming of this kind maps the international art-film circuit that Saudi festivals such as the Red Sea International Film Festival are competing to join as the Kingdom builds its standing in cinema. (</w:t>
      </w:r>
      <w:hyperlink r:id="rId14">
        <w:r>
          <w:rPr>
            <w:color w:val="0000FF"/>
            <w:u w:val="single"/>
            <w:rFonts w:ascii="Times New Roman" w:hAnsi="Times New Roman"/>
          </w:rPr>
          <w:t xml:space="preserve">The Hollywood Reporter</w:t>
        </w:r>
      </w:hyperlink>
      <w:r>
        <w:rPr>
          <w:b w:val="0"/>
        </w:rPr>
        <w:t>)</w:t>
      </w:r>
    </w:p>
    <w:p>
      <w:pPr>
        <w:pStyle w:val="ListBullet"/>
      </w:pPr>
      <w:r>
        <w:rPr>
          <w:b w:val="0"/>
        </w:rPr>
        <w:t>"Spider-Man: Brand New Day" has crossed $700 million at the US box office faster than any film in history, reaching the mark in 13 days and running well ahead of previous Marvel records. The result reaffirms the commercial pull of tentpole cinema and a recovering theatrical market — the exhibition business Saudi Arabia has been rapidly building since lifting its cinema ban in 2018. (</w:t>
      </w:r>
      <w:hyperlink r:id="rId15">
        <w:r>
          <w:rPr>
            <w:color w:val="0000FF"/>
            <w:u w:val="single"/>
            <w:rFonts w:ascii="Times New Roman" w:hAnsi="Times New Roman"/>
          </w:rPr>
          <w:t xml:space="preserve">Deadline</w:t>
        </w:r>
      </w:hyperlink>
      <w:r>
        <w:rPr>
          <w:b w:val="0"/>
        </w:rPr>
        <w:t>)</w:t>
      </w:r>
    </w:p>
    <w:p>
      <w:pPr>
        <w:pStyle w:val="ListBullet"/>
      </w:pPr>
      <w:r>
        <w:rPr>
          <w:b w:val="0"/>
        </w:rPr>
        <w:t>Hollywood's largest craft unions are split over how to respond to the contested $111 billion Paramount Skydance–Warner Bros. Discovery merger, with guild leaders warning that a drawn-out antitrust timeline threatens workers. The turbulence reshaping the world's largest content industry is redrawing the global production and co-production landscape that Saudi Arabia is courting for studio investment and international partnerships. (</w:t>
      </w:r>
      <w:hyperlink r:id="rId16">
        <w:r>
          <w:rPr>
            <w:color w:val="0000FF"/>
            <w:u w:val="single"/>
            <w:rFonts w:ascii="Times New Roman" w:hAnsi="Times New Roman"/>
          </w:rPr>
          <w:t xml:space="preserve">The Hollywood Reporter</w:t>
        </w:r>
      </w:hyperlink>
      <w:r>
        <w:rPr>
          <w:b w:val="0"/>
        </w:rPr>
        <w:t>)</w:t>
      </w:r>
    </w:p>
    <w:p>
      <w:pPr>
        <w:pStyle w:val="NoSpacing"/>
      </w:pPr>
      <w:r>
        <w:rPr>
          <w:b/>
          <w:color w:val="000000"/>
        </w:rPr>
        <w:t>Fashion:</w:t>
      </w:r>
    </w:p>
    <w:p>
      <w:pPr>
        <w:pStyle w:val="ListBullet"/>
      </w:pPr>
      <w:r>
        <w:rPr>
          <w:b w:val="0"/>
        </w:rPr>
        <w:t>Marc Jacobs has cast Jemima Kirke and Rowan Blanchard in its Fall 2026 campaign, extending the brand's turn towards episodic, scripted storytelling over conventional static imagery. Luxury fashion's move into narrative-led brand-building reflects the storytelling strategies increasingly shaping Saudi Arabia's emerging fashion sector and events such as Riyadh Fashion Week. (</w:t>
      </w:r>
      <w:hyperlink r:id="rId17">
        <w:r>
          <w:rPr>
            <w:color w:val="0000FF"/>
            <w:u w:val="single"/>
            <w:rFonts w:ascii="Times New Roman" w:hAnsi="Times New Roman"/>
          </w:rPr>
          <w:t xml:space="preserve">WWD</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Regional security escalation pressures the stability narrative</w:t>
      </w:r>
    </w:p>
    <w:p>
      <w:pPr>
        <w:pStyle w:val="NoSpacing"/>
      </w:pPr>
      <w:r>
        <w:t>Cross-border drone strikes on Saudi oil facilities, the fallout from late-July US–Saudi strikes, and continued Houthi escalation have kept the Kingdom's security environment in international headlines, even as Riyadh moves quickly to reassure neighbours such as Iraq. Sustained coverage of regional instability risks bleeding into international perceptions of the Kingdom as a destination for tourism, events and cultural investment.</w:t>
      </w:r>
    </w:p>
    <w:p>
      <w:pPr>
        <w:pStyle w:val="NoSpacing"/>
      </w:pPr>
      <w:r>
        <w:rPr>
          <w:b/>
        </w:rPr>
        <w:t xml:space="preserve">Source: </w:t>
      </w:r>
      <w:hyperlink r:id="rId9">
        <w:r>
          <w:rPr>
            <w:color w:val="0000FF"/>
            <w:u w:val="single"/>
            <w:rFonts w:ascii="Times New Roman" w:hAnsi="Times New Roman"/>
          </w:rPr>
          <w:t xml:space="preserve">Gulf News</w:t>
        </w:r>
      </w:hyperlink>
      <w:r>
        <w:rPr>
          <w:b w:val="0"/>
        </w:rPr>
        <w:t xml:space="preserve">, </w:t>
      </w:r>
      <w:hyperlink r:id="rId10">
        <w:r>
          <w:rPr>
            <w:color w:val="0000FF"/>
            <w:u w:val="single"/>
            <w:rFonts w:ascii="Times New Roman" w:hAnsi="Times New Roman"/>
          </w:rPr>
          <w:t xml:space="preserve">The National</w:t>
        </w:r>
      </w:hyperlink>
    </w:p>
    <w:p>
      <w:pPr>
        <w:pStyle w:val="NoSpacing"/>
      </w:pPr>
      <w:r>
        <w:rPr>
          <w:b/>
        </w:rPr>
        <w:t xml:space="preserve">Consideration: </w:t>
      </w:r>
      <w:r>
        <w:t>Keep the Ministry's cultural narrative anchored in credible delivery, public access, heritage stewardship and safe international participation, deliberately distinct from the regional-security story rather than entangled with it.</w:t>
      </w:r>
    </w:p>
    <w:p>
      <w:pPr>
        <w:pStyle w:val="NoSpacing"/>
      </w:pPr>
    </w:p>
    <w:p>
      <w:pPr>
        <w:pStyle w:val="NoSpacing"/>
      </w:pPr>
      <w:r>
        <w:rPr>
          <w:b/>
          <w:color w:val="000000"/>
        </w:rPr>
        <w:t>2. PIF's returns pivot raises the bar for cultural investment</w:t>
      </w:r>
    </w:p>
    <w:p>
      <w:pPr>
        <w:pStyle w:val="NoSpacing"/>
      </w:pPr>
      <w:r>
        <w:t>The Public Investment Fund's new 2026-2030 strategy emphasises financial returns, private capital and divestment while de-prioritising some flagship giga-projects, a discipline likely to extend to how non-commercial cultural spending is assessed. As the main financier of the national cultural agenda, a fund newly focused on measurable returns may scrutinise cultural investment more closely.</w:t>
      </w:r>
    </w:p>
    <w:p>
      <w:pPr>
        <w:pStyle w:val="NoSpacing"/>
      </w:pPr>
      <w:r>
        <w:rPr>
          <w:b/>
        </w:rPr>
        <w:t xml:space="preserve">Source: </w:t>
      </w:r>
      <w:hyperlink r:id="rId11">
        <w:r>
          <w:rPr>
            <w:color w:val="0000FF"/>
            <w:u w:val="single"/>
            <w:rFonts w:ascii="Times New Roman" w:hAnsi="Times New Roman"/>
          </w:rPr>
          <w:t xml:space="preserve">AGBI</w:t>
        </w:r>
      </w:hyperlink>
    </w:p>
    <w:p>
      <w:pPr>
        <w:pStyle w:val="NoSpacing"/>
      </w:pPr>
      <w:r>
        <w:rPr>
          <w:b/>
        </w:rPr>
        <w:t xml:space="preserve">Consideration: </w:t>
      </w:r>
      <w:r>
        <w:t>Frame cultural investment in the terms the new strategy rewards — visitor-economy contribution, non-oil GDP, job creation and private-partnership potential — so cultural delivery reads as aligned with the fund's sharper returns focus rather than exposed by it.</w:t>
      </w:r>
    </w:p>
    <w:p>
      <w:pPr>
        <w:pStyle w:val="NoSpacing"/>
      </w:pPr>
    </w:p>
    <w:p>
      <w:pPr>
        <w:pStyle w:val="NoSpacing"/>
      </w:pPr>
      <w:r>
        <w:rPr>
          <w:b/>
          <w:color w:val="A66500"/>
        </w:rPr>
        <w:t>Opportunities</w:t>
      </w:r>
    </w:p>
    <w:p>
      <w:pPr>
        <w:pStyle w:val="NoSpacing"/>
      </w:pPr>
      <w:r>
        <w:rPr>
          <w:b/>
          <w:color w:val="000000"/>
        </w:rPr>
        <w:t>1. Elevated regional convening role reinforces soft-power positioning</w:t>
      </w:r>
    </w:p>
    <w:p>
      <w:pPr>
        <w:pStyle w:val="NoSpacing"/>
      </w:pPr>
      <w:r>
        <w:t>Saudi Arabia's central place in the new trilateral Makkah defence framework, coupled with its rapid diplomatic reassurance of Iraq, casts the Kingdom as a regional convener and stabiliser. This convening posture is a natural complement to the Ministry's cultural diplomacy, which projects the same message of leadership and exchange through festivals, biennales and heritage collaboration.</w:t>
      </w:r>
    </w:p>
    <w:p>
      <w:pPr>
        <w:pStyle w:val="NoSpacing"/>
      </w:pPr>
      <w:r>
        <w:rPr>
          <w:b/>
        </w:rPr>
        <w:t xml:space="preserve">Source: </w:t>
      </w:r>
      <w:hyperlink r:id="rId10">
        <w:r>
          <w:rPr>
            <w:color w:val="0000FF"/>
            <w:u w:val="single"/>
            <w:rFonts w:ascii="Times New Roman" w:hAnsi="Times New Roman"/>
          </w:rPr>
          <w:t xml:space="preserve">The National</w:t>
        </w:r>
      </w:hyperlink>
      <w:r>
        <w:rPr>
          <w:b w:val="0"/>
        </w:rPr>
        <w:t xml:space="preserve">, </w:t>
      </w:r>
      <w:hyperlink r:id="rId9">
        <w:r>
          <w:rPr>
            <w:color w:val="0000FF"/>
            <w:u w:val="single"/>
            <w:rFonts w:ascii="Times New Roman" w:hAnsi="Times New Roman"/>
          </w:rPr>
          <w:t xml:space="preserve">Gulf News</w:t>
        </w:r>
      </w:hyperlink>
    </w:p>
    <w:p>
      <w:pPr>
        <w:pStyle w:val="NoSpacing"/>
      </w:pPr>
      <w:r>
        <w:rPr>
          <w:b/>
        </w:rPr>
        <w:t xml:space="preserve">Consideration: </w:t>
      </w:r>
      <w:r>
        <w:t>Connect cultural convening explicitly to the national narrative of stabilising regional leadership, positioning cultural exchange as a durable, non-military expression of the same role.</w:t>
      </w:r>
    </w:p>
    <w:p>
      <w:pPr>
        <w:pStyle w:val="NoSpacing"/>
      </w:pPr>
    </w:p>
    <w:p>
      <w:pPr>
        <w:pStyle w:val="NoSpacing"/>
      </w:pPr>
      <w:r>
        <w:rPr>
          <w:b/>
          <w:color w:val="000000"/>
        </w:rPr>
        <w:t>2. Global cultural benchmarks track the Kingdom's own investment priorities</w:t>
      </w:r>
    </w:p>
    <w:p>
      <w:pPr>
        <w:pStyle w:val="NoSpacing"/>
      </w:pPr>
      <w:r>
        <w:t>Today's international coverage — advanced imaging driving new archaeological discovery, a resurgent theatrical box office, and luxury fashion's move into narrative brand-building — maps closely onto sectors Saudi Arabia is actively developing, from AlUla and Diriyah archaeology to its cinema build-out and Riyadh Fashion Week. These stories offer both external validation and practical templates for the Kingdom's cultural strategy.</w:t>
      </w:r>
    </w:p>
    <w:p>
      <w:pPr>
        <w:pStyle w:val="NoSpacing"/>
      </w:pPr>
      <w:r>
        <w:rPr>
          <w:b/>
        </w:rPr>
        <w:t xml:space="preserve">Source: </w:t>
      </w:r>
      <w:hyperlink r:id="rId12">
        <w:r>
          <w:rPr>
            <w:color w:val="0000FF"/>
            <w:u w:val="single"/>
            <w:rFonts w:ascii="Times New Roman" w:hAnsi="Times New Roman"/>
          </w:rPr>
          <w:t xml:space="preserve">Archaeology Magazine</w:t>
        </w:r>
      </w:hyperlink>
      <w:r>
        <w:rPr>
          <w:b w:val="0"/>
        </w:rPr>
        <w:t xml:space="preserve">, </w:t>
      </w:r>
      <w:hyperlink r:id="rId15">
        <w:r>
          <w:rPr>
            <w:color w:val="0000FF"/>
            <w:u w:val="single"/>
            <w:rFonts w:ascii="Times New Roman" w:hAnsi="Times New Roman"/>
          </w:rPr>
          <w:t xml:space="preserve">Deadline</w:t>
        </w:r>
      </w:hyperlink>
      <w:r>
        <w:rPr>
          <w:b w:val="0"/>
        </w:rPr>
        <w:t xml:space="preserve">, </w:t>
      </w:r>
      <w:hyperlink r:id="rId17">
        <w:r>
          <w:rPr>
            <w:color w:val="0000FF"/>
            <w:u w:val="single"/>
            <w:rFonts w:ascii="Times New Roman" w:hAnsi="Times New Roman"/>
          </w:rPr>
          <w:t xml:space="preserve">WWD</w:t>
        </w:r>
      </w:hyperlink>
    </w:p>
    <w:p>
      <w:pPr>
        <w:pStyle w:val="NoSpacing"/>
      </w:pPr>
      <w:r>
        <w:rPr>
          <w:b/>
        </w:rPr>
        <w:t xml:space="preserve">Consideration: </w:t>
      </w:r>
      <w:r>
        <w:t>Use these global reference points to benchmark Saudi heritage science, film-sector growth and fashion storytelling, framing the Kingdom's cultural investments as part of, not apart from, leading international practice.</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ulfnews.com/world/gulf/saudi/saudi-defence-minister-calls-iraq-cherished-neighbour-after-strikes-1.500640250" TargetMode="External"/><Relationship Id="rId10" Type="http://schemas.openxmlformats.org/officeDocument/2006/relationships/hyperlink" Target="https://www.thenationalnews.com/news/gulf/2026/08/13/turkey-saudi-arabia-and-pakistan-to-establish-political-and-military-mechanisms-under-defence-pact/" TargetMode="External"/><Relationship Id="rId11" Type="http://schemas.openxmlformats.org/officeDocument/2006/relationships/hyperlink" Target="https://www.agbi.com/giga-projects/2026/08/pifs-new-strategy-focuses-on-returns-and-attracting-investment/" TargetMode="External"/><Relationship Id="rId12" Type="http://schemas.openxmlformats.org/officeDocument/2006/relationships/hyperlink" Target="https://archaeology.org/news/2026/08/13/fourth-century-b-c-graves-found-at-hattusha/" TargetMode="External"/><Relationship Id="rId13" Type="http://schemas.openxmlformats.org/officeDocument/2006/relationships/hyperlink" Target="https://archaeology.org/news/2026/08/13/homo-antecessor-skull-fragments-examined/" TargetMode="External"/><Relationship Id="rId14" Type="http://schemas.openxmlformats.org/officeDocument/2006/relationships/hyperlink" Target="https://www.hollywoodreporter.com/movies/movie-news/ny-film-festival-2026-currents-lineup-1236673366/" TargetMode="External"/><Relationship Id="rId15" Type="http://schemas.openxmlformats.org/officeDocument/2006/relationships/hyperlink" Target="https://deadline.com/2026/08/box-office-spider-man-brand-new-day-700m-record-fastest-1237032881/" TargetMode="External"/><Relationship Id="rId16" Type="http://schemas.openxmlformats.org/officeDocument/2006/relationships/hyperlink" Target="https://www.hollywoodreporter.com/business/business-news/paramount-warner-bros-labor-world-1236673223/" TargetMode="External"/><Relationship Id="rId17" Type="http://schemas.openxmlformats.org/officeDocument/2006/relationships/hyperlink" Target="https://wwd.com/fashion-news/fashion-scoops/marc-jacobs-fall-2026-jemima-kirke-rowan-blanchard-campaign-12391179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