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Spacing"/>
      </w:pPr>
      <w:r>
        <w:rPr>
          <w:b/>
          <w:color w:val="4A86E8"/>
        </w:rPr>
        <w:t>Headlines, 31 August 2026</w:t>
      </w:r>
    </w:p>
    <w:p>
      <w:pPr>
        <w:pStyle w:val="NoSpacing"/>
      </w:pPr>
    </w:p>
    <w:p>
      <w:pPr>
        <w:pStyle w:val="NoSpacing"/>
      </w:pPr>
      <w:r>
        <w:rPr>
          <w:b/>
          <w:color w:val="4A86E8"/>
        </w:rPr>
        <w:t>Saudi Arabia/Regional</w:t>
      </w:r>
    </w:p>
    <w:p>
      <w:pPr>
        <w:pStyle w:val="ListBullet"/>
      </w:pPr>
      <w:r>
        <w:t>Sultan bin Fahad explores historical links between jazz and Islam in solo exhibition</w:t>
      </w:r>
    </w:p>
    <w:p>
      <w:pPr>
        <w:pStyle w:val="NoSpacing"/>
      </w:pPr>
    </w:p>
    <w:p>
      <w:pPr>
        <w:pStyle w:val="NoSpacing"/>
      </w:pPr>
      <w:r>
        <w:rPr>
          <w:b/>
          <w:color w:val="EE0000"/>
        </w:rPr>
        <w:t>Negative Articles</w:t>
      </w:r>
    </w:p>
    <w:p>
      <w:pPr>
        <w:pStyle w:val="ListBullet"/>
      </w:pPr>
      <w:r>
        <w:t>Mecca pact's first trilateral meeting to be held in Istanbul on Monday</w:t>
      </w:r>
    </w:p>
    <w:p>
      <w:pPr>
        <w:pStyle w:val="NoSpacing"/>
      </w:pPr>
    </w:p>
    <w:p>
      <w:pPr>
        <w:pStyle w:val="NoSpacing"/>
      </w:pPr>
      <w:r>
        <w:rPr>
          <w:b/>
          <w:color w:val="4A86E8"/>
        </w:rPr>
        <w:t>Global</w:t>
      </w:r>
    </w:p>
    <w:p>
      <w:pPr>
        <w:pStyle w:val="ListBullet"/>
      </w:pPr>
      <w:r>
        <w:t>Egyptian queen's 673-diamond necklace stolen from Vienna museum in brazen daytime heist</w:t>
      </w:r>
    </w:p>
    <w:p>
      <w:pPr>
        <w:pStyle w:val="ListBullet"/>
      </w:pPr>
      <w:r>
        <w:t>Venice Film Festival Changes Course To Reinstate Jury Press Conference: How It Went Down</w:t>
      </w:r>
    </w:p>
    <w:p>
      <w:pPr>
        <w:pStyle w:val="ListBullet"/>
      </w:pPr>
      <w:r>
        <w:t>Box Office: 'The Dog Stars' Bombs With $8 Million; 'Spider-Man' Continues Reign in Fifth Weekend</w:t>
      </w:r>
    </w:p>
    <w:p>
      <w:pPr>
        <w:pStyle w:val="NoSpacing"/>
      </w:pPr>
    </w:p>
    <w:p>
      <w:r>
        <w:br w:type="page"/>
      </w:r>
    </w:p>
    <w:p>
      <w:pPr>
        <w:pStyle w:val="NoSpacing"/>
      </w:pPr>
      <w:r>
        <w:rPr>
          <w:b/>
          <w:color w:val="4A86E8"/>
        </w:rPr>
        <w:t>Saudi Arabia/Regional</w:t>
      </w:r>
    </w:p>
    <w:p>
      <w:pPr>
        <w:pStyle w:val="NoSpacing"/>
      </w:pPr>
      <w:r>
        <w:rPr>
          <w:b/>
          <w:color w:val="000000"/>
        </w:rPr>
        <w:t>Visual Arts:</w:t>
      </w:r>
    </w:p>
    <w:p>
      <w:pPr>
        <w:pStyle w:val="ListBullet"/>
      </w:pPr>
      <w:r>
        <w:rPr>
          <w:b w:val="0"/>
        </w:rPr>
        <w:t>Saudi artist Sultan bin Fahad has opened Blue Note at New York's Leila Heller Gallery, an exhibition tracing the overlooked historical links between jazz and Islam — from the faith's African roots to the conversions of musicians such as Yusef Lateef and Art Blakey during the American civil-rights era, illustrated with material including a 1950 letter from Malcolm X. Running until 13 September, the show places a Saudi artist at the centre of an intellectually ambitious cross-cultural narrative in a leading international art city, the kind of considered soft-power projection the Kingdom's visual-arts sector increasingly enables when it travels on the strength of the work itself rather than state promotion. (</w:t>
      </w:r>
      <w:hyperlink r:id="rId9">
        <w:r>
          <w:rPr>
            <w:color w:val="0000FF"/>
            <w:u w:val="single"/>
            <w:rFonts w:ascii="Times New Roman" w:hAnsi="Times New Roman"/>
          </w:rPr>
          <w:t xml:space="preserve">The National</w:t>
        </w:r>
      </w:hyperlink>
      <w:r>
        <w:rPr>
          <w:b w:val="0"/>
        </w:rPr>
        <w:t>)</w:t>
      </w:r>
    </w:p>
    <w:p>
      <w:pPr>
        <w:pStyle w:val="NoSpacing"/>
      </w:pPr>
    </w:p>
    <w:p>
      <w:pPr>
        <w:pStyle w:val="NoSpacing"/>
      </w:pPr>
      <w:r>
        <w:rPr>
          <w:b/>
          <w:color w:val="EE0000"/>
        </w:rPr>
        <w:t>Negative Articles</w:t>
      </w:r>
    </w:p>
    <w:p>
      <w:pPr>
        <w:pStyle w:val="ListBullet"/>
      </w:pPr>
      <w:r>
        <w:rPr>
          <w:b w:val="0"/>
        </w:rPr>
        <w:t>Middle East Eye reports that the first trilateral meeting under the Mecca defence pact — the mutual-defence agreement signed this month by Saudi Arabia, Turkey and Pakistan, under which an attack on any one signatory is treated as an attack on all — will be held in Istanbul on Monday. As Riyadh operationalises a security bloc that reaches beyond the GCC and draws in nuclear-armed Pakistan during the ongoing regional conflict with Iran, the arrangement has already attracted pointed commentary from Emirati voices and raises questions about escalation and alliance entanglement that form part of the reputational backdrop against which the Ministry's cultural-diplomacy messaging is read. (Middle East Eye is funded opaquely and widely linked to Qatar, and its framing on Gulf security should be read accordingly.) (</w:t>
      </w:r>
      <w:hyperlink r:id="rId10">
        <w:r>
          <w:rPr>
            <w:color w:val="0000FF"/>
            <w:u w:val="single"/>
            <w:rFonts w:ascii="Times New Roman" w:hAnsi="Times New Roman"/>
          </w:rPr>
          <w:t xml:space="preserve">Middle East Eye</w:t>
        </w:r>
      </w:hyperlink>
      <w:r>
        <w:rPr>
          <w:b w:val="0"/>
        </w:rPr>
        <w:t>)</w:t>
      </w:r>
    </w:p>
    <w:p>
      <w:pPr>
        <w:pStyle w:val="NoSpacing"/>
      </w:pPr>
    </w:p>
    <w:p>
      <w:pPr>
        <w:pStyle w:val="NoSpacing"/>
      </w:pPr>
      <w:r>
        <w:rPr>
          <w:b/>
          <w:color w:val="4A86E8"/>
        </w:rPr>
        <w:t>Global</w:t>
      </w:r>
    </w:p>
    <w:p>
      <w:pPr>
        <w:pStyle w:val="NoSpacing"/>
      </w:pPr>
      <w:r>
        <w:rPr>
          <w:b/>
          <w:color w:val="000000"/>
        </w:rPr>
        <w:t>Museums:</w:t>
      </w:r>
    </w:p>
    <w:p>
      <w:pPr>
        <w:pStyle w:val="ListBullet"/>
      </w:pPr>
      <w:r>
        <w:rPr>
          <w:b w:val="0"/>
        </w:rPr>
        <w:t>The Art Newspaper reports that a 673-diamond necklace once belonging to Queen Nazli of Egypt was stolen from Vienna's Museum of Applied Arts in a daytime robbery, with thieves smashing a display case and escaping on foot before Interpol added the piece to its stolen-artworks database. The theft is a reminder of the persistent security exposure of high-value heritage objects on public display, a live consideration for the Kingdom as it expands its museum estate and international loans programme. (</w:t>
      </w:r>
      <w:hyperlink r:id="rId11">
        <w:r>
          <w:rPr>
            <w:color w:val="0000FF"/>
            <w:u w:val="single"/>
            <w:rFonts w:ascii="Times New Roman" w:hAnsi="Times New Roman"/>
          </w:rPr>
          <w:t xml:space="preserve">The Art Newspaper</w:t>
        </w:r>
      </w:hyperlink>
      <w:r>
        <w:rPr>
          <w:b w:val="0"/>
        </w:rPr>
        <w:t>)</w:t>
      </w:r>
    </w:p>
    <w:p>
      <w:pPr>
        <w:pStyle w:val="NoSpacing"/>
      </w:pPr>
      <w:r>
        <w:rPr>
          <w:b/>
          <w:color w:val="000000"/>
        </w:rPr>
        <w:t>Film:</w:t>
      </w:r>
    </w:p>
    <w:p>
      <w:pPr>
        <w:pStyle w:val="ListBullet"/>
      </w:pPr>
      <w:r>
        <w:rPr>
          <w:b w:val="0"/>
        </w:rPr>
        <w:t>Deadline reports that the Venice Film Festival reversed course to reinstate its traditional opening jury press conference, having briefly scrapped the event citing a scheduling conflict before the 83rd edition opens on 2 September. Minor in itself, the episode reflects the scrutiny major festivals now face over press access and transparency — useful context as Saudi Arabia's own Red Sea International Film Festival continues to build its international standing. (</w:t>
      </w:r>
      <w:hyperlink r:id="rId12">
        <w:r>
          <w:rPr>
            <w:color w:val="0000FF"/>
            <w:u w:val="single"/>
            <w:rFonts w:ascii="Times New Roman" w:hAnsi="Times New Roman"/>
          </w:rPr>
          <w:t xml:space="preserve">Deadline</w:t>
        </w:r>
      </w:hyperlink>
      <w:r>
        <w:rPr>
          <w:b w:val="0"/>
        </w:rPr>
        <w:t>)</w:t>
      </w:r>
    </w:p>
    <w:p>
      <w:pPr>
        <w:pStyle w:val="ListBullet"/>
      </w:pPr>
      <w:r>
        <w:rPr>
          <w:b w:val="0"/>
        </w:rPr>
        <w:t>Variety reports that Ridley Scott's post-apocalyptic thriller The Dog Stars opened to just $8 million against a budget above $80 million, one of the director's weakest debuts, while Spider-Man: Brand New Day held first place in its fifth weekend. The result is a further signal of how hard original, non-franchise theatrical films are finding the market, a dynamic worth tracking as the Kingdom invests in an original-content film industry of its own. (</w:t>
      </w:r>
      <w:hyperlink r:id="rId13">
        <w:r>
          <w:rPr>
            <w:color w:val="0000FF"/>
            <w:u w:val="single"/>
            <w:rFonts w:ascii="Times New Roman" w:hAnsi="Times New Roman"/>
          </w:rPr>
          <w:t xml:space="preserve">Variety</w:t>
        </w:r>
      </w:hyperlink>
      <w:r>
        <w:rPr>
          <w:b w:val="0"/>
        </w:rPr>
        <w:t>)</w:t>
      </w:r>
    </w:p>
    <w:p>
      <w:pPr>
        <w:pStyle w:val="NoSpacing"/>
      </w:pPr>
    </w:p>
    <w:p>
      <w:r>
        <w:br w:type="page"/>
      </w:r>
    </w:p>
    <w:p>
      <w:pPr>
        <w:pStyle w:val="NoSpacing"/>
      </w:pPr>
      <w:r>
        <w:rPr>
          <w:b/>
          <w:color w:val="4A86E8"/>
        </w:rPr>
        <w:t>Risks and Opportunities</w:t>
      </w:r>
    </w:p>
    <w:p>
      <w:pPr>
        <w:pStyle w:val="NoSpacing"/>
      </w:pPr>
    </w:p>
    <w:p>
      <w:pPr>
        <w:pStyle w:val="NoSpacing"/>
      </w:pPr>
      <w:r>
        <w:rPr>
          <w:b/>
          <w:color w:val="C00000"/>
        </w:rPr>
        <w:t>Risks</w:t>
      </w:r>
    </w:p>
    <w:p>
      <w:pPr>
        <w:pStyle w:val="NoSpacing"/>
      </w:pPr>
      <w:r>
        <w:rPr>
          <w:b/>
          <w:color w:val="000000"/>
        </w:rPr>
        <w:t>1. Regional security frame hardening around the cultural narrative</w:t>
      </w:r>
    </w:p>
    <w:p>
      <w:pPr>
        <w:pStyle w:val="NoSpacing"/>
      </w:pPr>
      <w:r>
        <w:t>The move to operationalise the Mecca defence pact — with its first trilateral meeting set for Istanbul as Saudi Arabia, Turkey and Pakistan formalise a mutual-defence bloc extending beyond the GCC — sharpens the security and geopolitical frame surrounding the Kingdom during an active regional conflict. Coverage of the pact has already drawn friction from Gulf neighbours and questions from analysts about escalation and alliance cohesion, a reputational backdrop against which the Ministry's cultural programming will inevitably be read.</w:t>
      </w:r>
    </w:p>
    <w:p>
      <w:pPr>
        <w:pStyle w:val="NoSpacing"/>
      </w:pPr>
      <w:r>
        <w:rPr>
          <w:b/>
        </w:rPr>
        <w:t xml:space="preserve">Source: </w:t>
      </w:r>
      <w:hyperlink r:id="rId10">
        <w:r>
          <w:rPr>
            <w:color w:val="0000FF"/>
            <w:u w:val="single"/>
            <w:rFonts w:ascii="Times New Roman" w:hAnsi="Times New Roman"/>
          </w:rPr>
          <w:t xml:space="preserve">Middle East Eye</w:t>
        </w:r>
      </w:hyperlink>
    </w:p>
    <w:p>
      <w:pPr>
        <w:pStyle w:val="NoSpacing"/>
      </w:pPr>
      <w:r>
        <w:rPr>
          <w:b/>
        </w:rPr>
        <w:t xml:space="preserve">Consideration: </w:t>
      </w:r>
      <w:r>
        <w:t>Keep the Ministry's cultural story deliberately distinct from the security narrative by foregrounding public access, heritage stewardship, Saudi talent and genuine international cultural exchange, so that cultural-diplomacy achievements are not absorbed into coverage of regional tensions.</w:t>
      </w:r>
    </w:p>
    <w:p>
      <w:pPr>
        <w:pStyle w:val="NoSpacing"/>
      </w:pPr>
    </w:p>
    <w:p>
      <w:pPr>
        <w:pStyle w:val="NoSpacing"/>
      </w:pPr>
      <w:r>
        <w:rPr>
          <w:b/>
          <w:color w:val="A66500"/>
        </w:rPr>
        <w:t>Opportunities</w:t>
      </w:r>
    </w:p>
    <w:p>
      <w:pPr>
        <w:pStyle w:val="NoSpacing"/>
      </w:pPr>
      <w:r>
        <w:rPr>
          <w:b/>
          <w:color w:val="000000"/>
        </w:rPr>
        <w:t>1. Saudi artists carrying the cultural narrative onto major international stages</w:t>
      </w:r>
    </w:p>
    <w:p>
      <w:pPr>
        <w:pStyle w:val="NoSpacing"/>
      </w:pPr>
      <w:r>
        <w:t>Sultan bin Fahad's Blue Note exhibition in New York places a Saudi artist at the centre of an intellectually ambitious, cross-cultural show in a leading global art city, reaching audiences and critics that state-led promotion cannot address directly. It is an example of individual Saudi creative excellence doing reputational work abroad on its own terms, complementing rather than substituting for the Kingdom's institutional cultural investment.</w:t>
      </w:r>
    </w:p>
    <w:p>
      <w:pPr>
        <w:pStyle w:val="NoSpacing"/>
      </w:pPr>
      <w:r>
        <w:rPr>
          <w:b/>
        </w:rPr>
        <w:t xml:space="preserve">Source: </w:t>
      </w:r>
      <w:hyperlink r:id="rId9">
        <w:r>
          <w:rPr>
            <w:color w:val="0000FF"/>
            <w:u w:val="single"/>
            <w:rFonts w:ascii="Times New Roman" w:hAnsi="Times New Roman"/>
          </w:rPr>
          <w:t xml:space="preserve">The National</w:t>
        </w:r>
      </w:hyperlink>
    </w:p>
    <w:p>
      <w:pPr>
        <w:pStyle w:val="NoSpacing"/>
      </w:pPr>
      <w:r>
        <w:rPr>
          <w:b/>
        </w:rPr>
        <w:t xml:space="preserve">Consideration: </w:t>
      </w:r>
      <w:r>
        <w:t>Connect individual artist successes like this into a coherent national cultural-diplomacy narrative — supporting Saudi artists' international presence and amplifying their achievements — rather than treating each as an isolated announcement, while being careful not to overclaim Ministry ownership of independently created work.</w:t>
      </w:r>
    </w:p>
    <w:p>
      <w:pPr>
        <w:pStyle w:val="NoSpacing"/>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thenationalnews.com/arts-culture/art-design/2026/08/31/saudi-artist-sultan-bin-fahad-links-jazz-islam-blue-note-exhibition/" TargetMode="External"/><Relationship Id="rId10" Type="http://schemas.openxmlformats.org/officeDocument/2006/relationships/hyperlink" Target="https://www.middleeasteye.net/live-blog/live-blog-update/mecca-pacts-first-trilateral-meeting-be-held-istanbul-monday" TargetMode="External"/><Relationship Id="rId11" Type="http://schemas.openxmlformats.org/officeDocument/2006/relationships/hyperlink" Target="https://www.theartnewspaper.com/2026/08/30/queen-egypt-diamond-platinum-necklace-stolen-vienna-museum-applied-arts-robbery" TargetMode="External"/><Relationship Id="rId12" Type="http://schemas.openxmlformats.org/officeDocument/2006/relationships/hyperlink" Target="https://deadline.com/2026/08/venice-film-festival-uturn-reinstates-jury-press-conference-1237062875/" TargetMode="External"/><Relationship Id="rId13" Type="http://schemas.openxmlformats.org/officeDocument/2006/relationships/hyperlink" Target="https://variety.com/2026/film/news/box-office-the-dog-stars-bombs-spider-man-brand-new-day-12368468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